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2E063" w14:textId="79E40A38" w:rsidR="00A869C9" w:rsidRDefault="00E3782F" w:rsidP="009F216A">
      <w:pPr>
        <w:spacing w:after="120"/>
        <w:jc w:val="center"/>
        <w:rPr>
          <w:rFonts w:ascii="Times New Roman" w:hAnsi="Times New Roman" w:cs="Times New Roman"/>
          <w:b/>
          <w:sz w:val="24"/>
          <w:szCs w:val="24"/>
        </w:rPr>
      </w:pPr>
      <w:r>
        <w:rPr>
          <w:rFonts w:ascii="Times New Roman" w:hAnsi="Times New Roman" w:cs="Times New Roman"/>
          <w:b/>
          <w:sz w:val="24"/>
          <w:szCs w:val="24"/>
        </w:rPr>
        <w:t xml:space="preserve">Założenia resortowego programu </w:t>
      </w:r>
      <w:r w:rsidR="006C7EFB">
        <w:rPr>
          <w:rFonts w:ascii="Times New Roman" w:hAnsi="Times New Roman" w:cs="Times New Roman"/>
          <w:b/>
          <w:sz w:val="24"/>
          <w:szCs w:val="24"/>
        </w:rPr>
        <w:t>pn</w:t>
      </w:r>
      <w:r w:rsidR="00862A45">
        <w:rPr>
          <w:rFonts w:ascii="Times New Roman" w:hAnsi="Times New Roman" w:cs="Times New Roman"/>
          <w:b/>
          <w:sz w:val="24"/>
          <w:szCs w:val="24"/>
        </w:rPr>
        <w:t>.</w:t>
      </w:r>
      <w:r w:rsidR="006C7EFB">
        <w:rPr>
          <w:rFonts w:ascii="Times New Roman" w:hAnsi="Times New Roman" w:cs="Times New Roman"/>
          <w:b/>
          <w:sz w:val="24"/>
          <w:szCs w:val="24"/>
        </w:rPr>
        <w:t xml:space="preserve"> </w:t>
      </w:r>
      <w:r w:rsidR="006C7EFB" w:rsidRPr="006C7EFB">
        <w:rPr>
          <w:rFonts w:ascii="Times New Roman" w:hAnsi="Times New Roman" w:cs="Times New Roman"/>
          <w:b/>
          <w:i/>
          <w:sz w:val="24"/>
          <w:szCs w:val="24"/>
        </w:rPr>
        <w:t xml:space="preserve">Odporność i rozwój ekonomii społecznej </w:t>
      </w:r>
      <w:r w:rsidR="00957257">
        <w:rPr>
          <w:rFonts w:ascii="Times New Roman" w:hAnsi="Times New Roman" w:cs="Times New Roman"/>
          <w:b/>
          <w:i/>
          <w:sz w:val="24"/>
          <w:szCs w:val="24"/>
        </w:rPr>
        <w:br/>
      </w:r>
      <w:r w:rsidR="006C7EFB" w:rsidRPr="006C7EFB">
        <w:rPr>
          <w:rFonts w:ascii="Times New Roman" w:hAnsi="Times New Roman" w:cs="Times New Roman"/>
          <w:b/>
          <w:i/>
          <w:sz w:val="24"/>
          <w:szCs w:val="24"/>
        </w:rPr>
        <w:t>i przedsiębiorczości społecznej na lata 2022-2025</w:t>
      </w:r>
      <w:r w:rsidR="006C7EFB">
        <w:rPr>
          <w:rFonts w:ascii="Times New Roman" w:hAnsi="Times New Roman" w:cs="Times New Roman"/>
          <w:b/>
          <w:sz w:val="24"/>
          <w:szCs w:val="24"/>
        </w:rPr>
        <w:t>.</w:t>
      </w:r>
    </w:p>
    <w:p w14:paraId="52572143" w14:textId="77777777" w:rsidR="00344594" w:rsidRPr="00827660" w:rsidRDefault="00344594" w:rsidP="00827660">
      <w:pPr>
        <w:pStyle w:val="Nagwek1"/>
      </w:pPr>
      <w:r w:rsidRPr="00827660">
        <w:t>Podstawa prawna i kontekst KPO</w:t>
      </w:r>
    </w:p>
    <w:p w14:paraId="71A36C23" w14:textId="77777777" w:rsidR="00344594" w:rsidRDefault="00344594" w:rsidP="009F216A">
      <w:pPr>
        <w:pStyle w:val="Akapitzlist"/>
        <w:numPr>
          <w:ilvl w:val="0"/>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W Krajowym Planie Odbudowy i Zwiększania Odporności (KPO) uwzględnione zostały działania związane z ekonomią społeczną obejmujące</w:t>
      </w:r>
      <w:r w:rsidR="00B86E89">
        <w:rPr>
          <w:rFonts w:ascii="Times New Roman" w:hAnsi="Times New Roman" w:cs="Times New Roman"/>
          <w:sz w:val="24"/>
          <w:szCs w:val="24"/>
        </w:rPr>
        <w:t>:</w:t>
      </w:r>
      <w:r>
        <w:rPr>
          <w:rFonts w:ascii="Times New Roman" w:hAnsi="Times New Roman" w:cs="Times New Roman"/>
          <w:sz w:val="24"/>
          <w:szCs w:val="24"/>
        </w:rPr>
        <w:t xml:space="preserve"> wejście w życie ustawy o ekonomii społecznej (reforma) oraz </w:t>
      </w:r>
      <w:r w:rsidR="00B86E89">
        <w:rPr>
          <w:rFonts w:ascii="Times New Roman" w:hAnsi="Times New Roman" w:cs="Times New Roman"/>
          <w:sz w:val="24"/>
          <w:szCs w:val="24"/>
        </w:rPr>
        <w:t xml:space="preserve">realizację </w:t>
      </w:r>
      <w:r w:rsidR="00B86E89" w:rsidRPr="00B86E89">
        <w:rPr>
          <w:rFonts w:ascii="Times New Roman" w:hAnsi="Times New Roman" w:cs="Times New Roman"/>
          <w:sz w:val="24"/>
          <w:szCs w:val="24"/>
        </w:rPr>
        <w:t>Program</w:t>
      </w:r>
      <w:r w:rsidR="00B86E89">
        <w:rPr>
          <w:rFonts w:ascii="Times New Roman" w:hAnsi="Times New Roman" w:cs="Times New Roman"/>
          <w:sz w:val="24"/>
          <w:szCs w:val="24"/>
        </w:rPr>
        <w:t>u</w:t>
      </w:r>
      <w:r w:rsidR="00B86E89" w:rsidRPr="00B86E89">
        <w:rPr>
          <w:rFonts w:ascii="Times New Roman" w:hAnsi="Times New Roman" w:cs="Times New Roman"/>
          <w:sz w:val="24"/>
          <w:szCs w:val="24"/>
        </w:rPr>
        <w:t xml:space="preserve"> wsparcia inwestycyjnego umożliwiające</w:t>
      </w:r>
      <w:r w:rsidR="00B86E89">
        <w:rPr>
          <w:rFonts w:ascii="Times New Roman" w:hAnsi="Times New Roman" w:cs="Times New Roman"/>
          <w:sz w:val="24"/>
          <w:szCs w:val="24"/>
        </w:rPr>
        <w:t>go</w:t>
      </w:r>
      <w:r w:rsidR="00B86E89" w:rsidRPr="00B86E89">
        <w:rPr>
          <w:rFonts w:ascii="Times New Roman" w:hAnsi="Times New Roman" w:cs="Times New Roman"/>
          <w:sz w:val="24"/>
          <w:szCs w:val="24"/>
        </w:rPr>
        <w:t xml:space="preserve"> w szczególności rozwój działalności, zwiększenie udziału w realizacji usług społecznych oraz poprawę jakości </w:t>
      </w:r>
      <w:r w:rsidR="00B86E89">
        <w:rPr>
          <w:rFonts w:ascii="Times New Roman" w:hAnsi="Times New Roman" w:cs="Times New Roman"/>
          <w:sz w:val="24"/>
          <w:szCs w:val="24"/>
        </w:rPr>
        <w:t>re</w:t>
      </w:r>
      <w:r w:rsidR="00B86E89" w:rsidRPr="00B86E89">
        <w:rPr>
          <w:rFonts w:ascii="Times New Roman" w:hAnsi="Times New Roman" w:cs="Times New Roman"/>
          <w:sz w:val="24"/>
          <w:szCs w:val="24"/>
        </w:rPr>
        <w:t>integracji w podmiotach ekonomii społecznej</w:t>
      </w:r>
      <w:r w:rsidR="00B86E89">
        <w:rPr>
          <w:rFonts w:ascii="Times New Roman" w:hAnsi="Times New Roman" w:cs="Times New Roman"/>
          <w:sz w:val="24"/>
          <w:szCs w:val="24"/>
        </w:rPr>
        <w:t xml:space="preserve"> (inwestycja).</w:t>
      </w:r>
    </w:p>
    <w:p w14:paraId="19EDDCAC" w14:textId="0A8D9FC7" w:rsidR="001F587E" w:rsidRPr="00C44E82" w:rsidRDefault="001F587E" w:rsidP="001F587E">
      <w:pPr>
        <w:pStyle w:val="Akapitzlist"/>
        <w:numPr>
          <w:ilvl w:val="0"/>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Niniejszy program resortowy służyć będzie do przeprowadzenia zaplanowanej w KPO inwestycji.</w:t>
      </w:r>
    </w:p>
    <w:p w14:paraId="55377791" w14:textId="18A64E8C" w:rsidR="001F587E" w:rsidRPr="00C44E82" w:rsidRDefault="001F587E" w:rsidP="001F587E">
      <w:pPr>
        <w:pStyle w:val="Akapitzlist"/>
        <w:numPr>
          <w:ilvl w:val="0"/>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Podstawą prawną dla przygotowania i realizacji programu będą obecne art. 31-35 projektu ustawy </w:t>
      </w:r>
      <w:r w:rsidRPr="00994939">
        <w:rPr>
          <w:rFonts w:ascii="Times New Roman" w:hAnsi="Times New Roman" w:cs="Times New Roman"/>
          <w:i/>
          <w:sz w:val="24"/>
          <w:szCs w:val="24"/>
        </w:rPr>
        <w:t>o ekonomii społecznej</w:t>
      </w:r>
      <w:r w:rsidR="00C44E82">
        <w:rPr>
          <w:rFonts w:ascii="Times New Roman" w:hAnsi="Times New Roman" w:cs="Times New Roman"/>
          <w:sz w:val="24"/>
          <w:szCs w:val="24"/>
        </w:rPr>
        <w:t>.</w:t>
      </w:r>
    </w:p>
    <w:p w14:paraId="4BF2E1A6" w14:textId="56D1C1AC" w:rsidR="00B86E89" w:rsidRDefault="001F587E" w:rsidP="009F216A">
      <w:pPr>
        <w:pStyle w:val="Akapitzlist"/>
        <w:numPr>
          <w:ilvl w:val="0"/>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W</w:t>
      </w:r>
      <w:r w:rsidR="00B86E89">
        <w:rPr>
          <w:rFonts w:ascii="Times New Roman" w:hAnsi="Times New Roman" w:cs="Times New Roman"/>
          <w:sz w:val="24"/>
          <w:szCs w:val="24"/>
        </w:rPr>
        <w:t xml:space="preserve">pływ na jego kształt będą miały </w:t>
      </w:r>
      <w:r>
        <w:rPr>
          <w:rFonts w:ascii="Times New Roman" w:hAnsi="Times New Roman" w:cs="Times New Roman"/>
          <w:sz w:val="24"/>
          <w:szCs w:val="24"/>
        </w:rPr>
        <w:t xml:space="preserve">również </w:t>
      </w:r>
      <w:r w:rsidR="00B86E89">
        <w:rPr>
          <w:rFonts w:ascii="Times New Roman" w:hAnsi="Times New Roman" w:cs="Times New Roman"/>
          <w:sz w:val="24"/>
          <w:szCs w:val="24"/>
        </w:rPr>
        <w:t>dokumenty regulujące sposób wdrażania KPO takie jak:</w:t>
      </w:r>
    </w:p>
    <w:p w14:paraId="3FC76D54" w14:textId="77777777" w:rsidR="00B86E89" w:rsidRDefault="00AF029C" w:rsidP="009F216A">
      <w:pPr>
        <w:pStyle w:val="Akapitzlist"/>
        <w:numPr>
          <w:ilvl w:val="0"/>
          <w:numId w:val="4"/>
        </w:numPr>
        <w:spacing w:after="120" w:line="240" w:lineRule="auto"/>
        <w:contextualSpacing w:val="0"/>
        <w:jc w:val="both"/>
        <w:rPr>
          <w:rFonts w:ascii="Times New Roman" w:hAnsi="Times New Roman" w:cs="Times New Roman"/>
          <w:sz w:val="24"/>
          <w:szCs w:val="24"/>
        </w:rPr>
      </w:pPr>
      <w:r w:rsidRPr="00AF029C">
        <w:rPr>
          <w:rFonts w:ascii="Times New Roman" w:hAnsi="Times New Roman" w:cs="Times New Roman"/>
          <w:sz w:val="24"/>
          <w:szCs w:val="24"/>
        </w:rPr>
        <w:t>Wytyczne w zakresie kontroli w ramach planu rozwojowego współfinansowanego ze środków Instrumentu na rzecz Odbudowy i Zwiększania Odporności</w:t>
      </w:r>
      <w:r>
        <w:rPr>
          <w:rFonts w:ascii="Times New Roman" w:hAnsi="Times New Roman" w:cs="Times New Roman"/>
          <w:sz w:val="24"/>
          <w:szCs w:val="24"/>
        </w:rPr>
        <w:t xml:space="preserve"> (w trakcie przygotowywania przez MFiPR),</w:t>
      </w:r>
    </w:p>
    <w:p w14:paraId="60BA090E" w14:textId="3E45E2CD" w:rsidR="00B86E89" w:rsidRDefault="00AF029C" w:rsidP="009F216A">
      <w:pPr>
        <w:pStyle w:val="Akapitzlist"/>
        <w:numPr>
          <w:ilvl w:val="0"/>
          <w:numId w:val="4"/>
        </w:numPr>
        <w:spacing w:after="120" w:line="240" w:lineRule="auto"/>
        <w:contextualSpacing w:val="0"/>
        <w:jc w:val="both"/>
        <w:rPr>
          <w:rFonts w:ascii="Times New Roman" w:hAnsi="Times New Roman" w:cs="Times New Roman"/>
          <w:sz w:val="24"/>
          <w:szCs w:val="24"/>
        </w:rPr>
      </w:pPr>
      <w:r w:rsidRPr="00AF029C">
        <w:rPr>
          <w:rFonts w:ascii="Times New Roman" w:hAnsi="Times New Roman" w:cs="Times New Roman"/>
          <w:sz w:val="24"/>
          <w:szCs w:val="24"/>
        </w:rPr>
        <w:t xml:space="preserve">Wytyczne w zakresie sprawozdawczości i monitorowania w ramach planu rozwojowego współfinansowanego ze środków </w:t>
      </w:r>
      <w:r w:rsidR="00D9315A">
        <w:rPr>
          <w:rFonts w:ascii="Times New Roman" w:hAnsi="Times New Roman" w:cs="Times New Roman"/>
          <w:sz w:val="24"/>
          <w:szCs w:val="24"/>
        </w:rPr>
        <w:t>Instrumentu na rzecz Odbudowy i </w:t>
      </w:r>
      <w:r w:rsidRPr="00AF029C">
        <w:rPr>
          <w:rFonts w:ascii="Times New Roman" w:hAnsi="Times New Roman" w:cs="Times New Roman"/>
          <w:sz w:val="24"/>
          <w:szCs w:val="24"/>
        </w:rPr>
        <w:t>Zwiększania Odporności</w:t>
      </w:r>
      <w:r>
        <w:rPr>
          <w:rFonts w:ascii="Times New Roman" w:hAnsi="Times New Roman" w:cs="Times New Roman"/>
          <w:sz w:val="24"/>
          <w:szCs w:val="24"/>
        </w:rPr>
        <w:t xml:space="preserve"> (w trakcie przygotowywania przez MFiPR),</w:t>
      </w:r>
    </w:p>
    <w:p w14:paraId="5BFA3A3F" w14:textId="77777777" w:rsidR="00AF029C" w:rsidRDefault="00AF029C" w:rsidP="009F216A">
      <w:pPr>
        <w:pStyle w:val="Akapitzlist"/>
        <w:numPr>
          <w:ilvl w:val="0"/>
          <w:numId w:val="4"/>
        </w:numPr>
        <w:spacing w:after="120" w:line="240" w:lineRule="auto"/>
        <w:contextualSpacing w:val="0"/>
        <w:jc w:val="both"/>
        <w:rPr>
          <w:rFonts w:ascii="Times New Roman" w:hAnsi="Times New Roman" w:cs="Times New Roman"/>
          <w:sz w:val="24"/>
          <w:szCs w:val="24"/>
        </w:rPr>
      </w:pPr>
      <w:r w:rsidRPr="00AF029C">
        <w:rPr>
          <w:rFonts w:ascii="Times New Roman" w:hAnsi="Times New Roman" w:cs="Times New Roman"/>
          <w:sz w:val="24"/>
          <w:szCs w:val="24"/>
        </w:rPr>
        <w:t>Wytyczne w zakresie zasady partnerstwa w ramach planu rozwojowego współfinansowanego ze środków Instrumentu na rzecz Odbudowy i Zwiększania Odporności</w:t>
      </w:r>
      <w:r>
        <w:rPr>
          <w:rFonts w:ascii="Times New Roman" w:hAnsi="Times New Roman" w:cs="Times New Roman"/>
          <w:sz w:val="24"/>
          <w:szCs w:val="24"/>
        </w:rPr>
        <w:t>, (w trakcie przygotowywania przez MFiPR),</w:t>
      </w:r>
    </w:p>
    <w:p w14:paraId="29996CC3" w14:textId="77777777" w:rsidR="00AF029C" w:rsidRPr="00AF029C" w:rsidRDefault="00AF029C" w:rsidP="009F216A">
      <w:pPr>
        <w:pStyle w:val="Akapitzlist"/>
        <w:numPr>
          <w:ilvl w:val="0"/>
          <w:numId w:val="4"/>
        </w:numPr>
        <w:spacing w:after="120" w:line="240" w:lineRule="auto"/>
        <w:contextualSpacing w:val="0"/>
        <w:jc w:val="both"/>
        <w:rPr>
          <w:rFonts w:ascii="Times New Roman" w:hAnsi="Times New Roman" w:cs="Times New Roman"/>
          <w:sz w:val="24"/>
          <w:szCs w:val="24"/>
        </w:rPr>
      </w:pPr>
      <w:r w:rsidRPr="00AF029C">
        <w:rPr>
          <w:rFonts w:ascii="Times New Roman" w:hAnsi="Times New Roman" w:cs="Times New Roman"/>
          <w:sz w:val="24"/>
          <w:szCs w:val="24"/>
        </w:rPr>
        <w:t>Strategia promocji i informacji KPO</w:t>
      </w:r>
      <w:r>
        <w:rPr>
          <w:rFonts w:ascii="Times New Roman" w:hAnsi="Times New Roman" w:cs="Times New Roman"/>
          <w:sz w:val="24"/>
          <w:szCs w:val="24"/>
        </w:rPr>
        <w:t xml:space="preserve"> (dostępna na stronie: </w:t>
      </w:r>
      <w:r w:rsidRPr="00AF029C">
        <w:rPr>
          <w:rFonts w:ascii="Times New Roman" w:hAnsi="Times New Roman" w:cs="Times New Roman"/>
          <w:sz w:val="24"/>
          <w:szCs w:val="24"/>
        </w:rPr>
        <w:t>https://www.gov.pl/web/planodbudowy/strategia-promocji-i-informacji-kpo</w:t>
      </w:r>
      <w:r>
        <w:rPr>
          <w:rFonts w:ascii="Times New Roman" w:hAnsi="Times New Roman" w:cs="Times New Roman"/>
          <w:sz w:val="24"/>
          <w:szCs w:val="24"/>
        </w:rPr>
        <w:t>.</w:t>
      </w:r>
    </w:p>
    <w:p w14:paraId="7DEE4190" w14:textId="77777777" w:rsidR="0031306C" w:rsidRPr="004F28AE" w:rsidRDefault="0069074D" w:rsidP="00827660">
      <w:pPr>
        <w:pStyle w:val="Nagwek1"/>
      </w:pPr>
      <w:r>
        <w:t>Cel i działania uwzględnione w programie</w:t>
      </w:r>
      <w:r w:rsidR="0031306C">
        <w:t>.</w:t>
      </w:r>
    </w:p>
    <w:p w14:paraId="38563184" w14:textId="77777777" w:rsidR="009623A5" w:rsidRDefault="00AF029C" w:rsidP="009F216A">
      <w:pPr>
        <w:pStyle w:val="Akapitzlist"/>
        <w:numPr>
          <w:ilvl w:val="0"/>
          <w:numId w:val="3"/>
        </w:numPr>
        <w:spacing w:after="120" w:line="240" w:lineRule="auto"/>
        <w:contextualSpacing w:val="0"/>
        <w:jc w:val="both"/>
        <w:rPr>
          <w:rFonts w:ascii="Times New Roman" w:hAnsi="Times New Roman" w:cs="Times New Roman"/>
          <w:sz w:val="24"/>
          <w:szCs w:val="24"/>
        </w:rPr>
      </w:pPr>
      <w:r w:rsidRPr="002523BA">
        <w:rPr>
          <w:rFonts w:ascii="Times New Roman" w:hAnsi="Times New Roman" w:cs="Times New Roman"/>
          <w:b/>
          <w:sz w:val="24"/>
          <w:szCs w:val="24"/>
        </w:rPr>
        <w:t>Cel programu</w:t>
      </w:r>
      <w:r w:rsidR="00312250">
        <w:rPr>
          <w:rFonts w:ascii="Times New Roman" w:hAnsi="Times New Roman" w:cs="Times New Roman"/>
          <w:sz w:val="24"/>
          <w:szCs w:val="24"/>
        </w:rPr>
        <w:t xml:space="preserve"> to: </w:t>
      </w:r>
      <w:r w:rsidR="00312250" w:rsidRPr="00312250">
        <w:rPr>
          <w:rFonts w:ascii="Times New Roman" w:hAnsi="Times New Roman" w:cs="Times New Roman"/>
          <w:sz w:val="24"/>
          <w:szCs w:val="24"/>
        </w:rPr>
        <w:t>umożliwienie podmiotom ekonomii społecznej</w:t>
      </w:r>
      <w:r w:rsidR="0072121D">
        <w:rPr>
          <w:rFonts w:ascii="Times New Roman" w:hAnsi="Times New Roman" w:cs="Times New Roman"/>
          <w:sz w:val="24"/>
          <w:szCs w:val="24"/>
        </w:rPr>
        <w:t xml:space="preserve"> (PES)</w:t>
      </w:r>
      <w:r w:rsidR="00312250" w:rsidRPr="00312250">
        <w:rPr>
          <w:rFonts w:ascii="Times New Roman" w:hAnsi="Times New Roman" w:cs="Times New Roman"/>
          <w:sz w:val="24"/>
          <w:szCs w:val="24"/>
        </w:rPr>
        <w:t>, w tym przedsiębiorstwom społecznym</w:t>
      </w:r>
      <w:r w:rsidR="0072121D">
        <w:rPr>
          <w:rFonts w:ascii="Times New Roman" w:hAnsi="Times New Roman" w:cs="Times New Roman"/>
          <w:sz w:val="24"/>
          <w:szCs w:val="24"/>
        </w:rPr>
        <w:t xml:space="preserve"> (PS)</w:t>
      </w:r>
      <w:r w:rsidR="00312250" w:rsidRPr="00312250">
        <w:rPr>
          <w:rFonts w:ascii="Times New Roman" w:hAnsi="Times New Roman" w:cs="Times New Roman"/>
          <w:sz w:val="24"/>
          <w:szCs w:val="24"/>
        </w:rPr>
        <w:t xml:space="preserve"> i podmiotom zatrudnienia socjalnego</w:t>
      </w:r>
      <w:r w:rsidR="0072121D">
        <w:rPr>
          <w:rFonts w:ascii="Times New Roman" w:hAnsi="Times New Roman" w:cs="Times New Roman"/>
          <w:sz w:val="24"/>
          <w:szCs w:val="24"/>
        </w:rPr>
        <w:t xml:space="preserve"> (PZS)</w:t>
      </w:r>
      <w:r w:rsidR="00312250" w:rsidRPr="00312250">
        <w:rPr>
          <w:rFonts w:ascii="Times New Roman" w:hAnsi="Times New Roman" w:cs="Times New Roman"/>
          <w:sz w:val="24"/>
          <w:szCs w:val="24"/>
        </w:rPr>
        <w:t>, budowania odporności na zmiany zachodzące na rynku oraz zapewnienie instrumentów wsparcia pozwalających na rozwój ich działalności</w:t>
      </w:r>
      <w:r w:rsidR="00312250">
        <w:rPr>
          <w:rFonts w:ascii="Times New Roman" w:hAnsi="Times New Roman" w:cs="Times New Roman"/>
          <w:sz w:val="24"/>
          <w:szCs w:val="24"/>
        </w:rPr>
        <w:t>.</w:t>
      </w:r>
    </w:p>
    <w:p w14:paraId="5DB666B3" w14:textId="77777777" w:rsidR="00312250" w:rsidRDefault="00312250" w:rsidP="009F216A">
      <w:pPr>
        <w:pStyle w:val="Akapitzlist"/>
        <w:numPr>
          <w:ilvl w:val="0"/>
          <w:numId w:val="3"/>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W ramach programu możliwa będzie realizacja następujących </w:t>
      </w:r>
      <w:r w:rsidRPr="002523BA">
        <w:rPr>
          <w:rFonts w:ascii="Times New Roman" w:hAnsi="Times New Roman" w:cs="Times New Roman"/>
          <w:b/>
          <w:sz w:val="24"/>
          <w:szCs w:val="24"/>
        </w:rPr>
        <w:t>działań</w:t>
      </w:r>
      <w:r>
        <w:rPr>
          <w:rFonts w:ascii="Times New Roman" w:hAnsi="Times New Roman" w:cs="Times New Roman"/>
          <w:sz w:val="24"/>
          <w:szCs w:val="24"/>
        </w:rPr>
        <w:t>:</w:t>
      </w:r>
    </w:p>
    <w:p w14:paraId="398EC163" w14:textId="77777777" w:rsidR="00312250" w:rsidRPr="00267B9E" w:rsidRDefault="00312250" w:rsidP="009F216A">
      <w:pPr>
        <w:pStyle w:val="Listanumerowana"/>
        <w:numPr>
          <w:ilvl w:val="0"/>
          <w:numId w:val="6"/>
        </w:numPr>
        <w:spacing w:after="120"/>
        <w:contextualSpacing w:val="0"/>
        <w:rPr>
          <w:szCs w:val="24"/>
          <w:lang w:eastAsia="pl-PL"/>
        </w:rPr>
      </w:pPr>
      <w:r w:rsidRPr="00267B9E">
        <w:rPr>
          <w:b/>
        </w:rPr>
        <w:t>Reintegracja osób zagrożonych wykluczeniem społecznym w przedsiębiorstwach społecznych i podmiotach zatrudnienia socjalnego.</w:t>
      </w:r>
      <w:r w:rsidRPr="00E756B3">
        <w:t xml:space="preserve"> Wsparcie w tym zakresie obejmować może </w:t>
      </w:r>
      <w:r>
        <w:t>rozszerzenie</w:t>
      </w:r>
      <w:r w:rsidRPr="00E756B3">
        <w:t xml:space="preserve"> lub podniesienie jakości oferty reintegracyjnej, dotyczącej zarówno sfery społecznej, jak i zawodowej. W przypadku przedsiębiorstw społecznych wsparcie to </w:t>
      </w:r>
      <w:r>
        <w:t xml:space="preserve">umożliwi zapewnienie </w:t>
      </w:r>
      <w:r w:rsidRPr="00E756B3">
        <w:t>odpowiedniego zaplecza do reintegracji pracowników zagrożonych wykluczenie społecznym.</w:t>
      </w:r>
      <w:r>
        <w:t xml:space="preserve"> </w:t>
      </w:r>
      <w:r w:rsidRPr="00E756B3">
        <w:t xml:space="preserve">W przypadku </w:t>
      </w:r>
      <w:r>
        <w:t>PZS</w:t>
      </w:r>
      <w:r w:rsidRPr="00E756B3">
        <w:t xml:space="preserve"> oznacza to modernizację polegającą na dopasowaniu oferty reintegracyjnej adresowanej do uczestników</w:t>
      </w:r>
      <w:r>
        <w:t xml:space="preserve"> </w:t>
      </w:r>
      <w:r w:rsidRPr="00E756B3">
        <w:t xml:space="preserve">w </w:t>
      </w:r>
      <w:r>
        <w:t>wyższym stopniu</w:t>
      </w:r>
      <w:r w:rsidRPr="00E756B3">
        <w:t xml:space="preserve"> </w:t>
      </w:r>
      <w:r>
        <w:t xml:space="preserve">odpowiadającej </w:t>
      </w:r>
      <w:r w:rsidRPr="00E756B3">
        <w:t xml:space="preserve">uwarunkowaniom lokalnego rynku pracy. </w:t>
      </w:r>
      <w:r w:rsidRPr="00267B9E">
        <w:rPr>
          <w:szCs w:val="24"/>
          <w:lang w:eastAsia="pl-PL"/>
        </w:rPr>
        <w:t>Przykładowe działania</w:t>
      </w:r>
      <w:r>
        <w:rPr>
          <w:szCs w:val="24"/>
          <w:lang w:eastAsia="pl-PL"/>
        </w:rPr>
        <w:t>, które mogą być sfinansowane w ramach Programu</w:t>
      </w:r>
      <w:r w:rsidRPr="00267B9E">
        <w:rPr>
          <w:szCs w:val="24"/>
          <w:lang w:eastAsia="pl-PL"/>
        </w:rPr>
        <w:t>:</w:t>
      </w:r>
    </w:p>
    <w:p w14:paraId="349DBD12" w14:textId="77777777" w:rsidR="00312250" w:rsidRPr="00312250" w:rsidRDefault="00312250" w:rsidP="009F216A">
      <w:pPr>
        <w:pStyle w:val="Akapitzlist"/>
        <w:numPr>
          <w:ilvl w:val="0"/>
          <w:numId w:val="7"/>
        </w:numPr>
        <w:spacing w:after="120" w:line="276" w:lineRule="auto"/>
        <w:contextualSpacing w:val="0"/>
        <w:jc w:val="both"/>
        <w:rPr>
          <w:rFonts w:ascii="Times New Roman" w:hAnsi="Times New Roman"/>
          <w:sz w:val="24"/>
        </w:rPr>
      </w:pPr>
      <w:r w:rsidRPr="00312250">
        <w:rPr>
          <w:rFonts w:ascii="Times New Roman" w:hAnsi="Times New Roman"/>
          <w:sz w:val="24"/>
        </w:rPr>
        <w:lastRenderedPageBreak/>
        <w:t>przygotowanie indywidualnego planu reintegracji dla zagrożonych wykluczeniem społecznym pracowników PS,</w:t>
      </w:r>
    </w:p>
    <w:p w14:paraId="226B27AB" w14:textId="77777777" w:rsidR="00312250" w:rsidRPr="00312250" w:rsidRDefault="00312250" w:rsidP="009F216A">
      <w:pPr>
        <w:pStyle w:val="Akapitzlist"/>
        <w:numPr>
          <w:ilvl w:val="0"/>
          <w:numId w:val="7"/>
        </w:numPr>
        <w:spacing w:after="120" w:line="276" w:lineRule="auto"/>
        <w:contextualSpacing w:val="0"/>
        <w:jc w:val="both"/>
        <w:rPr>
          <w:rFonts w:ascii="Times New Roman" w:hAnsi="Times New Roman"/>
          <w:sz w:val="24"/>
        </w:rPr>
      </w:pPr>
      <w:r w:rsidRPr="00312250">
        <w:rPr>
          <w:rFonts w:ascii="Times New Roman" w:hAnsi="Times New Roman"/>
          <w:sz w:val="24"/>
        </w:rPr>
        <w:t>działania reintegracyjne (np. zakup usług) adresowanych do zagrożonych wykluczeniem społecznym pracowników PS,</w:t>
      </w:r>
    </w:p>
    <w:p w14:paraId="03DD9395" w14:textId="77777777" w:rsidR="00312250" w:rsidRPr="00312250" w:rsidRDefault="00312250" w:rsidP="009F216A">
      <w:pPr>
        <w:pStyle w:val="Akapitzlist"/>
        <w:numPr>
          <w:ilvl w:val="0"/>
          <w:numId w:val="7"/>
        </w:numPr>
        <w:spacing w:after="120" w:line="276" w:lineRule="auto"/>
        <w:contextualSpacing w:val="0"/>
        <w:jc w:val="both"/>
        <w:rPr>
          <w:rFonts w:ascii="Times New Roman" w:hAnsi="Times New Roman"/>
          <w:sz w:val="24"/>
        </w:rPr>
      </w:pPr>
      <w:r w:rsidRPr="00312250">
        <w:rPr>
          <w:rFonts w:ascii="Times New Roman" w:hAnsi="Times New Roman"/>
          <w:sz w:val="24"/>
        </w:rPr>
        <w:t xml:space="preserve">wzmacnianie potencjału do realizowania działań reintegracyjnych na rzecz pracowników zagrożonych wykluczeniem społecznym lub uczestników w przypadku PZS np. przez: zakup środków trwałych, wyposażenia, przeprowadzenie remontu lub adaptacja pomieszczeń, niezbędnych do prowadzenia takiej działalności, </w:t>
      </w:r>
    </w:p>
    <w:p w14:paraId="6673610A" w14:textId="77777777" w:rsidR="00312250" w:rsidRPr="00312250" w:rsidRDefault="00312250" w:rsidP="009F216A">
      <w:pPr>
        <w:pStyle w:val="Akapitzlist"/>
        <w:numPr>
          <w:ilvl w:val="0"/>
          <w:numId w:val="7"/>
        </w:numPr>
        <w:spacing w:after="120" w:line="276" w:lineRule="auto"/>
        <w:contextualSpacing w:val="0"/>
        <w:jc w:val="both"/>
        <w:rPr>
          <w:rFonts w:ascii="Times New Roman" w:hAnsi="Times New Roman"/>
          <w:sz w:val="24"/>
        </w:rPr>
      </w:pPr>
      <w:r w:rsidRPr="00312250">
        <w:rPr>
          <w:rFonts w:ascii="Times New Roman" w:hAnsi="Times New Roman"/>
          <w:sz w:val="24"/>
        </w:rPr>
        <w:t xml:space="preserve">wsparcie np. w postaci szkoleń, doradztwa, mentoringu, superwizji dla pracowników zaangażowanych w proces reintegracji osób zagrożonych wykluczeniem społecznym (pracowników PS lub uczestników PZS). </w:t>
      </w:r>
    </w:p>
    <w:p w14:paraId="735EB963" w14:textId="77777777" w:rsidR="00312250" w:rsidRPr="00BB24A9" w:rsidRDefault="00312250" w:rsidP="009F216A">
      <w:pPr>
        <w:pStyle w:val="Listanumerowana"/>
        <w:numPr>
          <w:ilvl w:val="0"/>
          <w:numId w:val="6"/>
        </w:numPr>
        <w:spacing w:after="120"/>
        <w:contextualSpacing w:val="0"/>
        <w:rPr>
          <w:lang w:eastAsia="pl-PL"/>
        </w:rPr>
      </w:pPr>
      <w:r w:rsidRPr="0049353D">
        <w:rPr>
          <w:b/>
          <w:lang w:eastAsia="pl-PL"/>
        </w:rPr>
        <w:t xml:space="preserve">Budowanie potencjału </w:t>
      </w:r>
      <w:r w:rsidR="00EB408E">
        <w:rPr>
          <w:b/>
          <w:lang w:eastAsia="pl-PL"/>
        </w:rPr>
        <w:t>p</w:t>
      </w:r>
      <w:r>
        <w:rPr>
          <w:b/>
          <w:lang w:eastAsia="pl-PL"/>
        </w:rPr>
        <w:t xml:space="preserve">rzedsiębiorstw społecznych i podmiotów ekonomii społecznej </w:t>
      </w:r>
      <w:r w:rsidRPr="0049353D">
        <w:rPr>
          <w:b/>
          <w:lang w:eastAsia="pl-PL"/>
        </w:rPr>
        <w:t xml:space="preserve">do realizacji </w:t>
      </w:r>
      <w:r>
        <w:rPr>
          <w:b/>
          <w:lang w:eastAsia="pl-PL"/>
        </w:rPr>
        <w:t xml:space="preserve">zdeinstytucjonalizowanych </w:t>
      </w:r>
      <w:r w:rsidRPr="0049353D">
        <w:rPr>
          <w:b/>
          <w:lang w:eastAsia="pl-PL"/>
        </w:rPr>
        <w:t xml:space="preserve">usług </w:t>
      </w:r>
      <w:r>
        <w:rPr>
          <w:b/>
          <w:lang w:eastAsia="pl-PL"/>
        </w:rPr>
        <w:t>s</w:t>
      </w:r>
      <w:r w:rsidRPr="0049353D">
        <w:rPr>
          <w:b/>
          <w:lang w:eastAsia="pl-PL"/>
        </w:rPr>
        <w:t>połecznych.</w:t>
      </w:r>
      <w:r>
        <w:rPr>
          <w:b/>
          <w:lang w:eastAsia="pl-PL"/>
        </w:rPr>
        <w:t xml:space="preserve"> </w:t>
      </w:r>
      <w:r w:rsidRPr="0049353D">
        <w:rPr>
          <w:lang w:eastAsia="pl-PL"/>
        </w:rPr>
        <w:t>Wsparcie w tym zakresie</w:t>
      </w:r>
      <w:r>
        <w:rPr>
          <w:b/>
          <w:lang w:eastAsia="pl-PL"/>
        </w:rPr>
        <w:t xml:space="preserve"> </w:t>
      </w:r>
      <w:r>
        <w:rPr>
          <w:lang w:eastAsia="pl-PL"/>
        </w:rPr>
        <w:t xml:space="preserve">obejmować będzie wzmacnianie zdolności podmiotów ekonomii społecznej, a w szczególności przedsiębiorstw społecznych do świadczenia usług społecznych na rzecz społeczności lokalnej. PES będą mogły przeprowadzić działania modernizacyjne dotyczące prowadzonej działalności pożytku publicznego (odpłatnej lub nieodpłatnej) działalności gospodarczej, czy też innej działalności odpłatnej. PES będą mogły wnioskować o wsparcie, o ile przyczyni się ono do rozwinięcia potencjału do świadczenia usług społecznych w formule zdeinstytucjonalizowanej. </w:t>
      </w:r>
      <w:r w:rsidRPr="00BB24A9">
        <w:rPr>
          <w:lang w:eastAsia="pl-PL"/>
        </w:rPr>
        <w:t>Przykładowe działania</w:t>
      </w:r>
      <w:r>
        <w:rPr>
          <w:lang w:eastAsia="pl-PL"/>
        </w:rPr>
        <w:t>, które mogą zostać sfinansowane w ramach programu</w:t>
      </w:r>
      <w:r w:rsidRPr="00BB24A9">
        <w:rPr>
          <w:lang w:eastAsia="pl-PL"/>
        </w:rPr>
        <w:t>:</w:t>
      </w:r>
    </w:p>
    <w:p w14:paraId="13FAF55E" w14:textId="77777777" w:rsidR="00312250" w:rsidRPr="00EB408E" w:rsidRDefault="00312250" w:rsidP="009F216A">
      <w:pPr>
        <w:pStyle w:val="Akapitzlist"/>
        <w:numPr>
          <w:ilvl w:val="0"/>
          <w:numId w:val="7"/>
        </w:numPr>
        <w:spacing w:after="120" w:line="276" w:lineRule="auto"/>
        <w:contextualSpacing w:val="0"/>
        <w:jc w:val="both"/>
        <w:rPr>
          <w:rFonts w:ascii="Times New Roman" w:hAnsi="Times New Roman"/>
          <w:sz w:val="24"/>
        </w:rPr>
      </w:pPr>
      <w:r w:rsidRPr="00EB408E">
        <w:rPr>
          <w:rFonts w:ascii="Times New Roman" w:hAnsi="Times New Roman"/>
          <w:sz w:val="24"/>
        </w:rPr>
        <w:t>zakup wyposażenia umożliwiających rozwijanie działalności w obszarze usług społecznych,</w:t>
      </w:r>
    </w:p>
    <w:p w14:paraId="1DA3C7EE" w14:textId="45F7E7C6" w:rsidR="00312250" w:rsidRPr="00EB408E" w:rsidRDefault="00312250" w:rsidP="009F216A">
      <w:pPr>
        <w:pStyle w:val="Akapitzlist"/>
        <w:numPr>
          <w:ilvl w:val="0"/>
          <w:numId w:val="7"/>
        </w:numPr>
        <w:spacing w:after="120" w:line="276" w:lineRule="auto"/>
        <w:contextualSpacing w:val="0"/>
        <w:jc w:val="both"/>
        <w:rPr>
          <w:rFonts w:ascii="Times New Roman" w:hAnsi="Times New Roman"/>
          <w:sz w:val="24"/>
        </w:rPr>
      </w:pPr>
      <w:r w:rsidRPr="00EB408E">
        <w:rPr>
          <w:rFonts w:ascii="Times New Roman" w:hAnsi="Times New Roman"/>
          <w:sz w:val="24"/>
        </w:rPr>
        <w:t>rozwijanie działalności w obszarze usług społecznych, z wykorzystaniem nowych, odtworzonych bądź zmodernizowanyc</w:t>
      </w:r>
      <w:r w:rsidR="00D9315A">
        <w:rPr>
          <w:rFonts w:ascii="Times New Roman" w:hAnsi="Times New Roman"/>
          <w:sz w:val="24"/>
        </w:rPr>
        <w:t>h środków trwałych związanych z </w:t>
      </w:r>
      <w:r w:rsidRPr="00EB408E">
        <w:rPr>
          <w:rFonts w:ascii="Times New Roman" w:hAnsi="Times New Roman"/>
          <w:sz w:val="24"/>
        </w:rPr>
        <w:t>prowadzoną lub planowaną działalnością, np.: zakup wyposażenia, maszyn, urządzeń, w tym środków transportu niezbędnych do świadczenia usług społecznych,</w:t>
      </w:r>
    </w:p>
    <w:p w14:paraId="2F39B274" w14:textId="77777777" w:rsidR="00312250" w:rsidRPr="00EB408E" w:rsidRDefault="00312250" w:rsidP="009F216A">
      <w:pPr>
        <w:pStyle w:val="Akapitzlist"/>
        <w:numPr>
          <w:ilvl w:val="0"/>
          <w:numId w:val="7"/>
        </w:numPr>
        <w:spacing w:after="120" w:line="276" w:lineRule="auto"/>
        <w:contextualSpacing w:val="0"/>
        <w:jc w:val="both"/>
        <w:rPr>
          <w:rFonts w:ascii="Times New Roman" w:hAnsi="Times New Roman"/>
          <w:sz w:val="24"/>
        </w:rPr>
      </w:pPr>
      <w:r w:rsidRPr="00EB408E">
        <w:rPr>
          <w:rFonts w:ascii="Times New Roman" w:hAnsi="Times New Roman"/>
          <w:sz w:val="24"/>
        </w:rPr>
        <w:t>przeprowadzenia ekspertyzy lokalnego rynku usług społecznych pod kątem możliwości wprowadzenia na niego nowych usług przez PES,</w:t>
      </w:r>
    </w:p>
    <w:p w14:paraId="537FE06F" w14:textId="77777777" w:rsidR="00312250" w:rsidRPr="00EB408E" w:rsidRDefault="00312250" w:rsidP="009F216A">
      <w:pPr>
        <w:pStyle w:val="Akapitzlist"/>
        <w:numPr>
          <w:ilvl w:val="0"/>
          <w:numId w:val="7"/>
        </w:numPr>
        <w:spacing w:after="120" w:line="276" w:lineRule="auto"/>
        <w:contextualSpacing w:val="0"/>
        <w:jc w:val="both"/>
        <w:rPr>
          <w:rFonts w:ascii="Times New Roman" w:hAnsi="Times New Roman"/>
          <w:sz w:val="24"/>
        </w:rPr>
      </w:pPr>
      <w:r w:rsidRPr="00EB408E">
        <w:rPr>
          <w:rFonts w:ascii="Times New Roman" w:hAnsi="Times New Roman"/>
          <w:sz w:val="24"/>
        </w:rPr>
        <w:t>wdrażanie nowych rozwiązań technologicznych lub technicznych niezbędnych do świadczenia usług społecznych,</w:t>
      </w:r>
    </w:p>
    <w:p w14:paraId="6BD1E96C" w14:textId="77777777" w:rsidR="00312250" w:rsidRPr="00EB408E" w:rsidRDefault="00312250" w:rsidP="009F216A">
      <w:pPr>
        <w:pStyle w:val="Akapitzlist"/>
        <w:numPr>
          <w:ilvl w:val="0"/>
          <w:numId w:val="7"/>
        </w:numPr>
        <w:spacing w:after="120" w:line="276" w:lineRule="auto"/>
        <w:contextualSpacing w:val="0"/>
        <w:jc w:val="both"/>
        <w:rPr>
          <w:rFonts w:ascii="Times New Roman" w:hAnsi="Times New Roman"/>
          <w:sz w:val="24"/>
        </w:rPr>
      </w:pPr>
      <w:r w:rsidRPr="00EB408E">
        <w:rPr>
          <w:rFonts w:ascii="Times New Roman" w:hAnsi="Times New Roman"/>
          <w:sz w:val="24"/>
        </w:rPr>
        <w:t>rozwijanie potencjału w realizacji usług społecznych przez: zakup wartości niematerialnych i prawnych, licencji, oprogramowania itp. niezbędnych do świadczenia usług społecznych,</w:t>
      </w:r>
    </w:p>
    <w:p w14:paraId="6EF4D209" w14:textId="77777777" w:rsidR="00312250" w:rsidRPr="00EB408E" w:rsidRDefault="00312250" w:rsidP="009F216A">
      <w:pPr>
        <w:pStyle w:val="Akapitzlist"/>
        <w:numPr>
          <w:ilvl w:val="0"/>
          <w:numId w:val="7"/>
        </w:numPr>
        <w:spacing w:after="120" w:line="276" w:lineRule="auto"/>
        <w:contextualSpacing w:val="0"/>
        <w:jc w:val="both"/>
        <w:rPr>
          <w:rFonts w:ascii="Times New Roman" w:hAnsi="Times New Roman"/>
          <w:sz w:val="24"/>
        </w:rPr>
      </w:pPr>
      <w:r w:rsidRPr="00EB408E">
        <w:rPr>
          <w:rFonts w:ascii="Times New Roman" w:hAnsi="Times New Roman"/>
          <w:sz w:val="24"/>
        </w:rPr>
        <w:t>cyfryzacja obsługi klientów lub podopiecznych PES w zakresie świadczenia usług, umawiania wizyt, itp.,</w:t>
      </w:r>
    </w:p>
    <w:p w14:paraId="412AA293" w14:textId="77777777" w:rsidR="00312250" w:rsidRPr="00EB408E" w:rsidRDefault="00312250" w:rsidP="009F216A">
      <w:pPr>
        <w:pStyle w:val="Akapitzlist"/>
        <w:numPr>
          <w:ilvl w:val="0"/>
          <w:numId w:val="7"/>
        </w:numPr>
        <w:spacing w:after="120" w:line="276" w:lineRule="auto"/>
        <w:contextualSpacing w:val="0"/>
        <w:jc w:val="both"/>
        <w:rPr>
          <w:rFonts w:ascii="Times New Roman" w:hAnsi="Times New Roman"/>
          <w:sz w:val="24"/>
        </w:rPr>
      </w:pPr>
      <w:r w:rsidRPr="00EB408E">
        <w:rPr>
          <w:rFonts w:ascii="Times New Roman" w:hAnsi="Times New Roman"/>
          <w:sz w:val="24"/>
        </w:rPr>
        <w:lastRenderedPageBreak/>
        <w:t>wdrożenie rozwiązań niezbędnych do osiągnięcia wyższego poziomu ochrony środowiska lub wyższego poziomu efektywności energetycznej przy świadczeniu usług społecznych.</w:t>
      </w:r>
    </w:p>
    <w:p w14:paraId="1BABAC42" w14:textId="3A441D68" w:rsidR="00312250" w:rsidRPr="009D11B4" w:rsidRDefault="00312250" w:rsidP="009F216A">
      <w:pPr>
        <w:pStyle w:val="Listanumerowana"/>
        <w:numPr>
          <w:ilvl w:val="0"/>
          <w:numId w:val="6"/>
        </w:numPr>
        <w:spacing w:after="120"/>
        <w:contextualSpacing w:val="0"/>
        <w:rPr>
          <w:b/>
          <w:lang w:eastAsia="pl-PL"/>
        </w:rPr>
      </w:pPr>
      <w:r>
        <w:rPr>
          <w:b/>
          <w:lang w:eastAsia="pl-PL"/>
        </w:rPr>
        <w:t xml:space="preserve">Wzmacnianie odporności i rozwój przedsiębiorstw społecznych i podmiotów ekonomii społecznej. </w:t>
      </w:r>
      <w:r>
        <w:rPr>
          <w:lang w:eastAsia="pl-PL"/>
        </w:rPr>
        <w:t>Wsparcie w tym zakresie dotyczyć będzie szerokiego spektrum aktywności przedsiębiorstw społecznych i innych podmiotów ekonomii społecznej. Obejmować ono może zarówno działalność pożytku publicznego, działalność gospodarczą oraz inną działalność odpłatną. Wsparcie to w szczególności koncentrować powinno się na aspektach powiązanych z możliwością uzyskania statusu przedsiębiorstwa społecznego, np. na rozpoczęciu lub rozwinięciu działalności gospodarczej lub odpłatnej, czy też podjęciu działań umożliwiających zatrudnienie pracowników. W ramach tego priorytetu możliwe b</w:t>
      </w:r>
      <w:r w:rsidR="00D9315A">
        <w:rPr>
          <w:lang w:eastAsia="pl-PL"/>
        </w:rPr>
        <w:t>ędzie także wsparcie związane z </w:t>
      </w:r>
      <w:r>
        <w:rPr>
          <w:lang w:eastAsia="pl-PL"/>
        </w:rPr>
        <w:t>działaniami w zakresie cyfryzacji, a także na prze</w:t>
      </w:r>
      <w:r w:rsidR="00D9315A">
        <w:rPr>
          <w:lang w:eastAsia="pl-PL"/>
        </w:rPr>
        <w:t>dsięwzięciach wpisujących się w </w:t>
      </w:r>
      <w:r>
        <w:rPr>
          <w:lang w:eastAsia="pl-PL"/>
        </w:rPr>
        <w:t>zieloną transformację.</w:t>
      </w:r>
      <w:r w:rsidRPr="009D11B4">
        <w:rPr>
          <w:szCs w:val="24"/>
          <w:lang w:eastAsia="pl-PL"/>
        </w:rPr>
        <w:t xml:space="preserve"> </w:t>
      </w:r>
      <w:r w:rsidRPr="00BB24A9">
        <w:rPr>
          <w:lang w:eastAsia="pl-PL"/>
        </w:rPr>
        <w:t>Przykładowe działania</w:t>
      </w:r>
      <w:r>
        <w:rPr>
          <w:lang w:eastAsia="pl-PL"/>
        </w:rPr>
        <w:t>, k</w:t>
      </w:r>
      <w:r w:rsidR="00D9315A">
        <w:rPr>
          <w:lang w:eastAsia="pl-PL"/>
        </w:rPr>
        <w:t>tóre mogą zostać sfinansowane w </w:t>
      </w:r>
      <w:r>
        <w:rPr>
          <w:lang w:eastAsia="pl-PL"/>
        </w:rPr>
        <w:t>ramach programu</w:t>
      </w:r>
      <w:r>
        <w:rPr>
          <w:szCs w:val="24"/>
          <w:lang w:eastAsia="pl-PL"/>
        </w:rPr>
        <w:t>:</w:t>
      </w:r>
    </w:p>
    <w:p w14:paraId="23FC2510" w14:textId="77777777" w:rsidR="00312250" w:rsidRPr="00EB0ADB" w:rsidRDefault="00312250" w:rsidP="009F216A">
      <w:pPr>
        <w:pStyle w:val="Akapitzlist"/>
        <w:numPr>
          <w:ilvl w:val="0"/>
          <w:numId w:val="7"/>
        </w:numPr>
        <w:spacing w:after="120" w:line="276" w:lineRule="auto"/>
        <w:contextualSpacing w:val="0"/>
        <w:jc w:val="both"/>
        <w:rPr>
          <w:rFonts w:ascii="Times New Roman" w:hAnsi="Times New Roman"/>
          <w:sz w:val="24"/>
        </w:rPr>
      </w:pPr>
      <w:r w:rsidRPr="00EB0ADB">
        <w:rPr>
          <w:rFonts w:ascii="Times New Roman" w:hAnsi="Times New Roman"/>
          <w:sz w:val="24"/>
        </w:rPr>
        <w:t>przeprowadzenia ekspertyzy lokalnego rynku pod kątem możliwości rozpoczęcia nowej formy działalności np. (działalności gospodarczej) lub rozwinięcia dotychczasowej formy działalności, w szczególności przez wprowadzenie do oferty produktów lub usług związanych z zieloną transformacją,</w:t>
      </w:r>
    </w:p>
    <w:p w14:paraId="1B269C6C" w14:textId="19FE896F" w:rsidR="00312250" w:rsidRPr="00EB0ADB" w:rsidRDefault="00312250" w:rsidP="009F216A">
      <w:pPr>
        <w:pStyle w:val="Akapitzlist"/>
        <w:numPr>
          <w:ilvl w:val="0"/>
          <w:numId w:val="7"/>
        </w:numPr>
        <w:spacing w:after="120" w:line="276" w:lineRule="auto"/>
        <w:contextualSpacing w:val="0"/>
        <w:jc w:val="both"/>
        <w:rPr>
          <w:rFonts w:ascii="Times New Roman" w:hAnsi="Times New Roman"/>
          <w:sz w:val="24"/>
        </w:rPr>
      </w:pPr>
      <w:r w:rsidRPr="00EB0ADB">
        <w:rPr>
          <w:rFonts w:ascii="Times New Roman" w:hAnsi="Times New Roman"/>
          <w:sz w:val="24"/>
        </w:rPr>
        <w:t>rozwijanie potencjału w zakresie prowadzone</w:t>
      </w:r>
      <w:r w:rsidR="00D9315A">
        <w:rPr>
          <w:rFonts w:ascii="Times New Roman" w:hAnsi="Times New Roman"/>
          <w:sz w:val="24"/>
        </w:rPr>
        <w:t>j lub planowanej działalności w </w:t>
      </w:r>
      <w:r w:rsidRPr="00EB0ADB">
        <w:rPr>
          <w:rFonts w:ascii="Times New Roman" w:hAnsi="Times New Roman"/>
          <w:sz w:val="24"/>
        </w:rPr>
        <w:t xml:space="preserve">szczególności związanej z zieloną transformacją lub mającą na celu poprawę efektywności energetycznej stosowanych rozwiązań przez zakup nowych, odtworzenie zużytych bądź modernizację istniejących środków trwałych np.: zakup wyposażenia, maszyn, urządzeń, w tym środków transportu,  </w:t>
      </w:r>
    </w:p>
    <w:p w14:paraId="334BAB42" w14:textId="77777777" w:rsidR="00312250" w:rsidRPr="00EB0ADB" w:rsidRDefault="00312250" w:rsidP="009F216A">
      <w:pPr>
        <w:pStyle w:val="Akapitzlist"/>
        <w:numPr>
          <w:ilvl w:val="0"/>
          <w:numId w:val="7"/>
        </w:numPr>
        <w:spacing w:after="120" w:line="276" w:lineRule="auto"/>
        <w:contextualSpacing w:val="0"/>
        <w:jc w:val="both"/>
        <w:rPr>
          <w:rFonts w:ascii="Times New Roman" w:hAnsi="Times New Roman"/>
          <w:sz w:val="24"/>
        </w:rPr>
      </w:pPr>
      <w:r w:rsidRPr="00EB0ADB">
        <w:rPr>
          <w:rFonts w:ascii="Times New Roman" w:hAnsi="Times New Roman"/>
          <w:sz w:val="24"/>
        </w:rPr>
        <w:t>wdrażanie nowych rozwiązań technologicznych lub technicznych,</w:t>
      </w:r>
    </w:p>
    <w:p w14:paraId="78F5DC83" w14:textId="77777777" w:rsidR="00312250" w:rsidRPr="00EB0ADB" w:rsidRDefault="00312250" w:rsidP="009F216A">
      <w:pPr>
        <w:pStyle w:val="Akapitzlist"/>
        <w:numPr>
          <w:ilvl w:val="0"/>
          <w:numId w:val="7"/>
        </w:numPr>
        <w:spacing w:after="120" w:line="276" w:lineRule="auto"/>
        <w:contextualSpacing w:val="0"/>
        <w:jc w:val="both"/>
        <w:rPr>
          <w:rFonts w:ascii="Times New Roman" w:hAnsi="Times New Roman"/>
          <w:sz w:val="24"/>
        </w:rPr>
      </w:pPr>
      <w:r w:rsidRPr="00EB0ADB">
        <w:rPr>
          <w:rFonts w:ascii="Times New Roman" w:hAnsi="Times New Roman"/>
          <w:sz w:val="24"/>
        </w:rPr>
        <w:t>rozwijanie potencjału w zakresie prowadzonej lub planowanej działalności przez zakup wartości niematerialnych i prawnych, licencji, oprogramowania itp.,</w:t>
      </w:r>
    </w:p>
    <w:p w14:paraId="0B19901E" w14:textId="77777777" w:rsidR="00312250" w:rsidRPr="00EB0ADB" w:rsidRDefault="00312250" w:rsidP="009F216A">
      <w:pPr>
        <w:pStyle w:val="Akapitzlist"/>
        <w:numPr>
          <w:ilvl w:val="0"/>
          <w:numId w:val="7"/>
        </w:numPr>
        <w:spacing w:after="120" w:line="276" w:lineRule="auto"/>
        <w:contextualSpacing w:val="0"/>
        <w:jc w:val="both"/>
        <w:rPr>
          <w:rFonts w:ascii="Times New Roman" w:hAnsi="Times New Roman"/>
          <w:sz w:val="24"/>
        </w:rPr>
      </w:pPr>
      <w:r w:rsidRPr="00EB0ADB">
        <w:rPr>
          <w:rFonts w:ascii="Times New Roman" w:hAnsi="Times New Roman"/>
          <w:sz w:val="24"/>
        </w:rPr>
        <w:t>wdrożenie rozwiązań niezbędnych do osiągnięcia wyższego poziomu ochrony środowiska lub wyższego poziomu efektywności energetycznej,</w:t>
      </w:r>
    </w:p>
    <w:p w14:paraId="6EBA928E" w14:textId="3EC6416B" w:rsidR="00312250" w:rsidRPr="00EB0ADB" w:rsidRDefault="00312250" w:rsidP="009F216A">
      <w:pPr>
        <w:pStyle w:val="Akapitzlist"/>
        <w:numPr>
          <w:ilvl w:val="0"/>
          <w:numId w:val="7"/>
        </w:numPr>
        <w:spacing w:after="120" w:line="276" w:lineRule="auto"/>
        <w:contextualSpacing w:val="0"/>
        <w:jc w:val="both"/>
        <w:rPr>
          <w:rFonts w:ascii="Times New Roman" w:hAnsi="Times New Roman"/>
          <w:sz w:val="24"/>
        </w:rPr>
      </w:pPr>
      <w:r w:rsidRPr="00EB0ADB">
        <w:rPr>
          <w:rFonts w:ascii="Times New Roman" w:hAnsi="Times New Roman"/>
          <w:sz w:val="24"/>
        </w:rPr>
        <w:t>cyfryzacja dystrybucji lub sprzedaży, finanso</w:t>
      </w:r>
      <w:r w:rsidR="00D9315A">
        <w:rPr>
          <w:rFonts w:ascii="Times New Roman" w:hAnsi="Times New Roman"/>
          <w:sz w:val="24"/>
        </w:rPr>
        <w:t>wanie tworzenia lub włączenia w </w:t>
      </w:r>
      <w:r w:rsidRPr="00EB0ADB">
        <w:rPr>
          <w:rFonts w:ascii="Times New Roman" w:hAnsi="Times New Roman"/>
          <w:sz w:val="24"/>
        </w:rPr>
        <w:t>internetowe platformy lub kanały sprzedaży itp.,</w:t>
      </w:r>
    </w:p>
    <w:p w14:paraId="0695529E" w14:textId="77777777" w:rsidR="00312250" w:rsidRPr="00EB0ADB" w:rsidRDefault="00312250" w:rsidP="009F216A">
      <w:pPr>
        <w:pStyle w:val="Akapitzlist"/>
        <w:numPr>
          <w:ilvl w:val="0"/>
          <w:numId w:val="7"/>
        </w:numPr>
        <w:spacing w:after="120" w:line="276" w:lineRule="auto"/>
        <w:contextualSpacing w:val="0"/>
        <w:jc w:val="both"/>
        <w:rPr>
          <w:rFonts w:ascii="Times New Roman" w:hAnsi="Times New Roman"/>
          <w:sz w:val="24"/>
        </w:rPr>
      </w:pPr>
      <w:r w:rsidRPr="00EB0ADB">
        <w:rPr>
          <w:rFonts w:ascii="Times New Roman" w:hAnsi="Times New Roman"/>
          <w:sz w:val="24"/>
        </w:rPr>
        <w:t>doradztwo zewnętrzne polegające na opracowaniu lub wdrożeniu nowego lub znacząco ulepszonego wyrobu, usługi lub technologii ,</w:t>
      </w:r>
    </w:p>
    <w:p w14:paraId="298F22C9" w14:textId="77777777" w:rsidR="00EB0ADB" w:rsidRPr="00EB0ADB" w:rsidRDefault="00312250" w:rsidP="009F216A">
      <w:pPr>
        <w:pStyle w:val="Akapitzlist"/>
        <w:numPr>
          <w:ilvl w:val="0"/>
          <w:numId w:val="7"/>
        </w:numPr>
        <w:spacing w:after="120" w:line="240" w:lineRule="auto"/>
        <w:contextualSpacing w:val="0"/>
        <w:jc w:val="both"/>
        <w:rPr>
          <w:rFonts w:ascii="Times New Roman" w:hAnsi="Times New Roman" w:cs="Times New Roman"/>
          <w:sz w:val="24"/>
          <w:szCs w:val="24"/>
        </w:rPr>
      </w:pPr>
      <w:r w:rsidRPr="00EB0ADB">
        <w:rPr>
          <w:rFonts w:ascii="Times New Roman" w:hAnsi="Times New Roman"/>
          <w:sz w:val="24"/>
        </w:rPr>
        <w:t>informacja i promocja związana z modernizacją, w tym wydatki dotyczące: oznaczeń; bilbordów; tablic informacyjno-promocyjnych oraz utworzenia/rozbudowy istniejącej strony internetowej, przygotowania materiałów filmowych i zdjęciowych, organizacji spotkań informacyjnych w sieci internetowej, promocja w mediach społecznościowych,</w:t>
      </w:r>
    </w:p>
    <w:p w14:paraId="73363303" w14:textId="77777777" w:rsidR="00312250" w:rsidRPr="00EB0ADB" w:rsidRDefault="00312250" w:rsidP="009F216A">
      <w:pPr>
        <w:pStyle w:val="Akapitzlist"/>
        <w:numPr>
          <w:ilvl w:val="0"/>
          <w:numId w:val="7"/>
        </w:numPr>
        <w:spacing w:after="120" w:line="240" w:lineRule="auto"/>
        <w:contextualSpacing w:val="0"/>
        <w:jc w:val="both"/>
        <w:rPr>
          <w:rFonts w:ascii="Times New Roman" w:hAnsi="Times New Roman"/>
          <w:sz w:val="24"/>
        </w:rPr>
      </w:pPr>
      <w:r w:rsidRPr="00EB0ADB">
        <w:rPr>
          <w:rFonts w:ascii="Times New Roman" w:hAnsi="Times New Roman"/>
          <w:sz w:val="24"/>
        </w:rPr>
        <w:t>doposażenie umożliwiające pracę zdalną w zakresie: doradztwa, szkoleń dla pracowników oraz zakupu licencji lub oprogramowania.</w:t>
      </w:r>
    </w:p>
    <w:p w14:paraId="014FEA90" w14:textId="77777777" w:rsidR="004F28AE" w:rsidRDefault="00EB0ADB" w:rsidP="009F216A">
      <w:pPr>
        <w:pStyle w:val="Akapitzlist"/>
        <w:numPr>
          <w:ilvl w:val="0"/>
          <w:numId w:val="3"/>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Podmioty ekonomii społecznej będą mogły realizować jedno z wskazanych powyżej działań lub zaplanować przedsięwzięcie obejmujące kilka działań wskazując jednocześnie które z nich ma wiodący charakter. Działanie</w:t>
      </w:r>
      <w:r w:rsidR="0069074D">
        <w:rPr>
          <w:rFonts w:ascii="Times New Roman" w:hAnsi="Times New Roman" w:cs="Times New Roman"/>
          <w:sz w:val="24"/>
          <w:szCs w:val="24"/>
        </w:rPr>
        <w:t>,</w:t>
      </w:r>
      <w:r>
        <w:rPr>
          <w:rFonts w:ascii="Times New Roman" w:hAnsi="Times New Roman" w:cs="Times New Roman"/>
          <w:sz w:val="24"/>
          <w:szCs w:val="24"/>
        </w:rPr>
        <w:t xml:space="preserve"> o którym mowa w pkt. </w:t>
      </w:r>
      <w:r w:rsidR="0069074D">
        <w:rPr>
          <w:rFonts w:ascii="Times New Roman" w:hAnsi="Times New Roman" w:cs="Times New Roman"/>
          <w:sz w:val="24"/>
          <w:szCs w:val="24"/>
        </w:rPr>
        <w:t>2</w:t>
      </w:r>
      <w:r>
        <w:rPr>
          <w:rFonts w:ascii="Times New Roman" w:hAnsi="Times New Roman" w:cs="Times New Roman"/>
          <w:sz w:val="24"/>
          <w:szCs w:val="24"/>
        </w:rPr>
        <w:t xml:space="preserve"> lit. a będzie mogło być realizowane przez PZS oraz PS.</w:t>
      </w:r>
    </w:p>
    <w:p w14:paraId="71E63C26" w14:textId="77777777" w:rsidR="0069074D" w:rsidRPr="004F28AE" w:rsidRDefault="0069074D" w:rsidP="00827660">
      <w:pPr>
        <w:pStyle w:val="Nagwek1"/>
      </w:pPr>
      <w:r>
        <w:t>Organizacja naboru.</w:t>
      </w:r>
    </w:p>
    <w:p w14:paraId="289E7398" w14:textId="77777777" w:rsidR="0069074D" w:rsidRDefault="0069074D" w:rsidP="009F216A">
      <w:pPr>
        <w:pStyle w:val="Akapitzlist"/>
        <w:numPr>
          <w:ilvl w:val="0"/>
          <w:numId w:val="8"/>
        </w:numPr>
        <w:spacing w:after="12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Do skorzystania ze środków w ramach programu </w:t>
      </w:r>
      <w:r w:rsidRPr="0069074D">
        <w:rPr>
          <w:rFonts w:ascii="Times New Roman" w:hAnsi="Times New Roman" w:cs="Times New Roman"/>
          <w:b/>
          <w:sz w:val="24"/>
          <w:szCs w:val="24"/>
        </w:rPr>
        <w:t>uprawnione będą podmioty ekonomii społecznej</w:t>
      </w:r>
      <w:r>
        <w:rPr>
          <w:rFonts w:ascii="Times New Roman" w:hAnsi="Times New Roman" w:cs="Times New Roman"/>
          <w:sz w:val="24"/>
          <w:szCs w:val="24"/>
        </w:rPr>
        <w:t>.</w:t>
      </w:r>
    </w:p>
    <w:p w14:paraId="61C561E9" w14:textId="77777777" w:rsidR="0069074D" w:rsidRDefault="0069074D" w:rsidP="009F216A">
      <w:pPr>
        <w:pStyle w:val="Akapitzlist"/>
        <w:numPr>
          <w:ilvl w:val="0"/>
          <w:numId w:val="8"/>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PES będą mogły składać wnioski w ramach </w:t>
      </w:r>
      <w:r w:rsidRPr="009F216A">
        <w:rPr>
          <w:rFonts w:ascii="Times New Roman" w:hAnsi="Times New Roman" w:cs="Times New Roman"/>
          <w:b/>
          <w:sz w:val="24"/>
          <w:szCs w:val="24"/>
        </w:rPr>
        <w:t>otwartego naboru</w:t>
      </w:r>
      <w:r>
        <w:rPr>
          <w:rFonts w:ascii="Times New Roman" w:hAnsi="Times New Roman" w:cs="Times New Roman"/>
          <w:sz w:val="24"/>
          <w:szCs w:val="24"/>
        </w:rPr>
        <w:t xml:space="preserve">. </w:t>
      </w:r>
    </w:p>
    <w:p w14:paraId="6C4A23B9" w14:textId="77777777" w:rsidR="00EB0ADB" w:rsidRDefault="00EB0ADB" w:rsidP="009F216A">
      <w:pPr>
        <w:pStyle w:val="Akapitzlist"/>
        <w:numPr>
          <w:ilvl w:val="0"/>
          <w:numId w:val="8"/>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Wsparcie w ramach programu będzie można uzyskać </w:t>
      </w:r>
      <w:r w:rsidRPr="009F216A">
        <w:rPr>
          <w:rFonts w:ascii="Times New Roman" w:hAnsi="Times New Roman" w:cs="Times New Roman"/>
          <w:b/>
          <w:sz w:val="24"/>
          <w:szCs w:val="24"/>
        </w:rPr>
        <w:t>tylko jeden raz</w:t>
      </w:r>
      <w:r>
        <w:rPr>
          <w:rFonts w:ascii="Times New Roman" w:hAnsi="Times New Roman" w:cs="Times New Roman"/>
          <w:sz w:val="24"/>
          <w:szCs w:val="24"/>
        </w:rPr>
        <w:t>.</w:t>
      </w:r>
      <w:r w:rsidRPr="00EB0ADB">
        <w:rPr>
          <w:rFonts w:ascii="Times New Roman" w:hAnsi="Times New Roman" w:cs="Times New Roman"/>
          <w:sz w:val="24"/>
          <w:szCs w:val="24"/>
        </w:rPr>
        <w:t xml:space="preserve"> </w:t>
      </w:r>
    </w:p>
    <w:p w14:paraId="7349689D" w14:textId="77777777" w:rsidR="00EB0ADB" w:rsidRPr="00520843" w:rsidRDefault="00EB0ADB" w:rsidP="009F216A">
      <w:pPr>
        <w:pStyle w:val="Akapitzlist"/>
        <w:numPr>
          <w:ilvl w:val="0"/>
          <w:numId w:val="8"/>
        </w:numPr>
        <w:spacing w:after="120" w:line="240" w:lineRule="auto"/>
        <w:contextualSpacing w:val="0"/>
        <w:jc w:val="both"/>
        <w:rPr>
          <w:rFonts w:ascii="Times New Roman" w:hAnsi="Times New Roman" w:cs="Times New Roman"/>
          <w:sz w:val="24"/>
          <w:szCs w:val="24"/>
        </w:rPr>
      </w:pPr>
      <w:r w:rsidRPr="00520843">
        <w:rPr>
          <w:rFonts w:ascii="Times New Roman" w:hAnsi="Times New Roman" w:cs="Times New Roman"/>
          <w:sz w:val="24"/>
          <w:szCs w:val="24"/>
        </w:rPr>
        <w:t xml:space="preserve">Wsparcie finansowe będzie mogło zostać przyznane </w:t>
      </w:r>
      <w:r w:rsidRPr="009F216A">
        <w:rPr>
          <w:rFonts w:ascii="Times New Roman" w:hAnsi="Times New Roman" w:cs="Times New Roman"/>
          <w:b/>
          <w:sz w:val="24"/>
          <w:szCs w:val="24"/>
        </w:rPr>
        <w:t>m.in. na zakup środków trwałych</w:t>
      </w:r>
      <w:r w:rsidRPr="00520843">
        <w:rPr>
          <w:rFonts w:ascii="Times New Roman" w:hAnsi="Times New Roman" w:cs="Times New Roman"/>
          <w:sz w:val="24"/>
          <w:szCs w:val="24"/>
        </w:rPr>
        <w:t xml:space="preserve">, w tym służących do prowadzenia </w:t>
      </w:r>
      <w:r w:rsidRPr="00C44E82">
        <w:rPr>
          <w:rFonts w:ascii="Times New Roman" w:hAnsi="Times New Roman" w:cs="Times New Roman"/>
          <w:b/>
          <w:sz w:val="24"/>
          <w:szCs w:val="24"/>
        </w:rPr>
        <w:t>działalności gospodarczej</w:t>
      </w:r>
      <w:r w:rsidRPr="00520843">
        <w:rPr>
          <w:rFonts w:ascii="Times New Roman" w:hAnsi="Times New Roman" w:cs="Times New Roman"/>
          <w:sz w:val="24"/>
          <w:szCs w:val="24"/>
        </w:rPr>
        <w:t>.</w:t>
      </w:r>
    </w:p>
    <w:p w14:paraId="623F4B57" w14:textId="66C4B900" w:rsidR="00EB0ADB" w:rsidRDefault="00EB0ADB" w:rsidP="009F216A">
      <w:pPr>
        <w:pStyle w:val="Akapitzlist"/>
        <w:numPr>
          <w:ilvl w:val="0"/>
          <w:numId w:val="8"/>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PES, które otrzymają wsparcie zobowiązane będą </w:t>
      </w:r>
      <w:r w:rsidRPr="009F216A">
        <w:rPr>
          <w:rFonts w:ascii="Times New Roman" w:hAnsi="Times New Roman" w:cs="Times New Roman"/>
          <w:b/>
          <w:sz w:val="24"/>
          <w:szCs w:val="24"/>
        </w:rPr>
        <w:t>do utrzymania poziomu zatrudnienia przez 12 miesięcy od uzyskania wsparcia</w:t>
      </w:r>
      <w:r w:rsidR="00EC7A62">
        <w:rPr>
          <w:rStyle w:val="Odwoanieprzypisudolnego"/>
          <w:rFonts w:ascii="Times New Roman" w:hAnsi="Times New Roman" w:cs="Times New Roman"/>
          <w:b/>
          <w:sz w:val="24"/>
          <w:szCs w:val="24"/>
        </w:rPr>
        <w:footnoteReference w:id="1"/>
      </w:r>
      <w:r>
        <w:rPr>
          <w:rFonts w:ascii="Times New Roman" w:hAnsi="Times New Roman" w:cs="Times New Roman"/>
          <w:sz w:val="24"/>
          <w:szCs w:val="24"/>
        </w:rPr>
        <w:t>.</w:t>
      </w:r>
    </w:p>
    <w:p w14:paraId="313A2FA2" w14:textId="77777777" w:rsidR="00EB0ADB" w:rsidRDefault="00EB0ADB" w:rsidP="009F216A">
      <w:pPr>
        <w:pStyle w:val="Akapitzlist"/>
        <w:numPr>
          <w:ilvl w:val="0"/>
          <w:numId w:val="8"/>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W ramach programu planowane jest wsparcie ok. </w:t>
      </w:r>
      <w:r w:rsidRPr="009F216A">
        <w:rPr>
          <w:rFonts w:ascii="Times New Roman" w:hAnsi="Times New Roman" w:cs="Times New Roman"/>
          <w:b/>
          <w:sz w:val="24"/>
          <w:szCs w:val="24"/>
        </w:rPr>
        <w:t>1000 podmiotów</w:t>
      </w:r>
      <w:r>
        <w:rPr>
          <w:rFonts w:ascii="Times New Roman" w:hAnsi="Times New Roman" w:cs="Times New Roman"/>
          <w:sz w:val="24"/>
          <w:szCs w:val="24"/>
        </w:rPr>
        <w:t>.</w:t>
      </w:r>
    </w:p>
    <w:p w14:paraId="255E8F24" w14:textId="08BC16E0" w:rsidR="001F587E" w:rsidRDefault="002523BA" w:rsidP="001F587E">
      <w:pPr>
        <w:pStyle w:val="Akapitzlist"/>
        <w:numPr>
          <w:ilvl w:val="0"/>
          <w:numId w:val="8"/>
        </w:numPr>
        <w:spacing w:after="120" w:line="240" w:lineRule="auto"/>
        <w:contextualSpacing w:val="0"/>
        <w:jc w:val="both"/>
        <w:rPr>
          <w:rFonts w:ascii="Times New Roman" w:hAnsi="Times New Roman" w:cs="Times New Roman"/>
          <w:sz w:val="24"/>
          <w:szCs w:val="24"/>
        </w:rPr>
      </w:pPr>
      <w:r w:rsidRPr="001F587E">
        <w:rPr>
          <w:rFonts w:ascii="Times New Roman" w:hAnsi="Times New Roman" w:cs="Times New Roman"/>
          <w:sz w:val="24"/>
          <w:szCs w:val="24"/>
        </w:rPr>
        <w:t>Na realizację programu zaplanowano ok. 200 mln zł</w:t>
      </w:r>
      <w:r w:rsidR="00C44E82">
        <w:rPr>
          <w:rFonts w:ascii="Times New Roman" w:hAnsi="Times New Roman" w:cs="Times New Roman"/>
          <w:sz w:val="24"/>
          <w:szCs w:val="24"/>
        </w:rPr>
        <w:t>.</w:t>
      </w:r>
      <w:r w:rsidR="00C44E82" w:rsidRPr="001F587E">
        <w:rPr>
          <w:rFonts w:ascii="Times New Roman" w:hAnsi="Times New Roman" w:cs="Times New Roman"/>
          <w:sz w:val="24"/>
          <w:szCs w:val="24"/>
        </w:rPr>
        <w:t xml:space="preserve"> </w:t>
      </w:r>
    </w:p>
    <w:p w14:paraId="37A61B84" w14:textId="77777777" w:rsidR="002523BA" w:rsidRPr="001F587E" w:rsidRDefault="002523BA" w:rsidP="001F587E">
      <w:pPr>
        <w:pStyle w:val="Akapitzlist"/>
        <w:numPr>
          <w:ilvl w:val="0"/>
          <w:numId w:val="8"/>
        </w:numPr>
        <w:spacing w:after="120" w:line="240" w:lineRule="auto"/>
        <w:contextualSpacing w:val="0"/>
        <w:jc w:val="both"/>
        <w:rPr>
          <w:rFonts w:ascii="Times New Roman" w:hAnsi="Times New Roman" w:cs="Times New Roman"/>
          <w:sz w:val="24"/>
          <w:szCs w:val="24"/>
        </w:rPr>
      </w:pPr>
      <w:r w:rsidRPr="001F587E">
        <w:rPr>
          <w:rFonts w:ascii="Times New Roman" w:hAnsi="Times New Roman" w:cs="Times New Roman"/>
          <w:sz w:val="24"/>
          <w:szCs w:val="24"/>
        </w:rPr>
        <w:t xml:space="preserve">Maksymalna wartość wsparcia wyniesie </w:t>
      </w:r>
      <w:r w:rsidRPr="001F587E">
        <w:rPr>
          <w:rFonts w:ascii="Times New Roman" w:hAnsi="Times New Roman" w:cs="Times New Roman"/>
          <w:b/>
          <w:sz w:val="24"/>
          <w:szCs w:val="24"/>
        </w:rPr>
        <w:t>ok</w:t>
      </w:r>
      <w:r w:rsidR="0069074D" w:rsidRPr="001F587E">
        <w:rPr>
          <w:rFonts w:ascii="Times New Roman" w:hAnsi="Times New Roman" w:cs="Times New Roman"/>
          <w:b/>
          <w:sz w:val="24"/>
          <w:szCs w:val="24"/>
        </w:rPr>
        <w:t>.</w:t>
      </w:r>
      <w:r w:rsidRPr="001F587E">
        <w:rPr>
          <w:rFonts w:ascii="Times New Roman" w:hAnsi="Times New Roman" w:cs="Times New Roman"/>
          <w:b/>
          <w:sz w:val="24"/>
          <w:szCs w:val="24"/>
        </w:rPr>
        <w:t xml:space="preserve"> 200 tys. zł na jeden podmiot</w:t>
      </w:r>
      <w:r w:rsidRPr="001F587E">
        <w:rPr>
          <w:rFonts w:ascii="Times New Roman" w:hAnsi="Times New Roman" w:cs="Times New Roman"/>
          <w:sz w:val="24"/>
          <w:szCs w:val="24"/>
        </w:rPr>
        <w:t>.</w:t>
      </w:r>
    </w:p>
    <w:p w14:paraId="7A7A5CB5" w14:textId="77777777" w:rsidR="0069074D" w:rsidRDefault="0069074D" w:rsidP="009F216A">
      <w:pPr>
        <w:pStyle w:val="Akapitzlist"/>
        <w:numPr>
          <w:ilvl w:val="0"/>
          <w:numId w:val="8"/>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Okres realizacji przedsięwzięć w ramach programu wynosić będzie </w:t>
      </w:r>
      <w:r w:rsidRPr="009F216A">
        <w:rPr>
          <w:rFonts w:ascii="Times New Roman" w:hAnsi="Times New Roman" w:cs="Times New Roman"/>
          <w:b/>
          <w:sz w:val="24"/>
          <w:szCs w:val="24"/>
        </w:rPr>
        <w:t>nie więcej niż 12 miesięcy</w:t>
      </w:r>
      <w:r>
        <w:rPr>
          <w:rFonts w:ascii="Times New Roman" w:hAnsi="Times New Roman" w:cs="Times New Roman"/>
          <w:sz w:val="24"/>
          <w:szCs w:val="24"/>
        </w:rPr>
        <w:t>.</w:t>
      </w:r>
    </w:p>
    <w:p w14:paraId="43439014" w14:textId="77777777" w:rsidR="0069074D" w:rsidRPr="0072121D" w:rsidRDefault="0069074D" w:rsidP="00827660">
      <w:pPr>
        <w:pStyle w:val="Nagwek1"/>
      </w:pPr>
      <w:r w:rsidRPr="0072121D">
        <w:t>Kryteria wyboru przedsięwzięć</w:t>
      </w:r>
    </w:p>
    <w:p w14:paraId="11FB20B7" w14:textId="77777777" w:rsidR="0072121D" w:rsidRDefault="0072121D" w:rsidP="009F216A">
      <w:pPr>
        <w:pStyle w:val="Akapitzlist"/>
        <w:numPr>
          <w:ilvl w:val="0"/>
          <w:numId w:val="10"/>
        </w:numPr>
        <w:spacing w:after="120" w:line="240" w:lineRule="auto"/>
        <w:contextualSpacing w:val="0"/>
        <w:jc w:val="both"/>
        <w:rPr>
          <w:rFonts w:ascii="Times New Roman" w:hAnsi="Times New Roman" w:cs="Times New Roman"/>
          <w:sz w:val="24"/>
          <w:szCs w:val="24"/>
        </w:rPr>
      </w:pPr>
      <w:r w:rsidRPr="0072121D">
        <w:rPr>
          <w:rFonts w:ascii="Times New Roman" w:hAnsi="Times New Roman" w:cs="Times New Roman"/>
          <w:sz w:val="24"/>
          <w:szCs w:val="24"/>
        </w:rPr>
        <w:t xml:space="preserve">Wszystkie wnioski będą musiały spełniać warunki określone w  </w:t>
      </w:r>
      <w:r w:rsidRPr="0072121D">
        <w:rPr>
          <w:rFonts w:ascii="Times New Roman" w:hAnsi="Times New Roman" w:cs="Times New Roman"/>
          <w:i/>
          <w:sz w:val="24"/>
          <w:szCs w:val="24"/>
        </w:rPr>
        <w:t>Horyzontalnych zasadach i kryteriach wyboru przedsięwzięć dla Krajowego Planu Odbudowy</w:t>
      </w:r>
      <w:r w:rsidRPr="0072121D">
        <w:rPr>
          <w:rFonts w:ascii="Times New Roman" w:hAnsi="Times New Roman" w:cs="Times New Roman"/>
          <w:sz w:val="24"/>
          <w:szCs w:val="24"/>
        </w:rPr>
        <w:t xml:space="preserve"> i Zwiększania Odporności</w:t>
      </w:r>
      <w:r>
        <w:rPr>
          <w:rFonts w:ascii="Times New Roman" w:hAnsi="Times New Roman" w:cs="Times New Roman"/>
          <w:sz w:val="24"/>
          <w:szCs w:val="24"/>
        </w:rPr>
        <w:t xml:space="preserve"> </w:t>
      </w:r>
      <w:r w:rsidRPr="0072121D">
        <w:rPr>
          <w:rFonts w:ascii="Times New Roman" w:hAnsi="Times New Roman" w:cs="Times New Roman"/>
          <w:sz w:val="24"/>
          <w:szCs w:val="24"/>
        </w:rPr>
        <w:t xml:space="preserve">dostępnych na stronie: </w:t>
      </w:r>
      <w:hyperlink r:id="rId8" w:history="1">
        <w:r w:rsidRPr="00280B30">
          <w:rPr>
            <w:rStyle w:val="Hipercze"/>
            <w:rFonts w:ascii="Times New Roman" w:hAnsi="Times New Roman" w:cs="Times New Roman"/>
            <w:sz w:val="24"/>
            <w:szCs w:val="24"/>
          </w:rPr>
          <w:t>https://www.gov.pl/web/planodbudowy/polskie-prawo</w:t>
        </w:r>
      </w:hyperlink>
      <w:r>
        <w:rPr>
          <w:rFonts w:ascii="Times New Roman" w:hAnsi="Times New Roman" w:cs="Times New Roman"/>
          <w:sz w:val="24"/>
          <w:szCs w:val="24"/>
        </w:rPr>
        <w:t>. Kryteria te są wspólne dla wszystkich przedsięwzięć dofinansowanych w ramach KPO.</w:t>
      </w:r>
    </w:p>
    <w:p w14:paraId="6A22D0F6" w14:textId="77777777" w:rsidR="0072121D" w:rsidRDefault="0072121D" w:rsidP="009F216A">
      <w:pPr>
        <w:pStyle w:val="Akapitzlist"/>
        <w:numPr>
          <w:ilvl w:val="0"/>
          <w:numId w:val="10"/>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Dodatkowo wnioski oceniane będą pod względem kryteriów formalnych i merytorycznych określonych w ogłoszeniu o naborze i regulaminie.</w:t>
      </w:r>
    </w:p>
    <w:p w14:paraId="54B76E51" w14:textId="7F881285" w:rsidR="008563DA" w:rsidRDefault="008563DA" w:rsidP="009F216A">
      <w:pPr>
        <w:pStyle w:val="Akapitzlist"/>
        <w:numPr>
          <w:ilvl w:val="0"/>
          <w:numId w:val="10"/>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W programie uwzględnione będzie kryterium strat</w:t>
      </w:r>
      <w:r w:rsidR="00D9315A">
        <w:rPr>
          <w:rFonts w:ascii="Times New Roman" w:hAnsi="Times New Roman" w:cs="Times New Roman"/>
          <w:sz w:val="24"/>
          <w:szCs w:val="24"/>
        </w:rPr>
        <w:t>egiczne premiujące PES, które w </w:t>
      </w:r>
      <w:r>
        <w:rPr>
          <w:rFonts w:ascii="Times New Roman" w:hAnsi="Times New Roman" w:cs="Times New Roman"/>
          <w:sz w:val="24"/>
          <w:szCs w:val="24"/>
        </w:rPr>
        <w:t xml:space="preserve">momencie składania wniosku będą miały status PS lub zobowiążą się do uzyskania takiego statusu przed zakończeniem realizacji przedsięwzięcia. Podmioty takie otrzymają dodatkowe punkty mające wpływ na ocenę wniosku, </w:t>
      </w:r>
      <w:r w:rsidR="00D9315A">
        <w:rPr>
          <w:rFonts w:ascii="Times New Roman" w:hAnsi="Times New Roman" w:cs="Times New Roman"/>
          <w:sz w:val="24"/>
          <w:szCs w:val="24"/>
        </w:rPr>
        <w:t>a także będą mogły wnioskować o </w:t>
      </w:r>
      <w:r>
        <w:rPr>
          <w:rFonts w:ascii="Times New Roman" w:hAnsi="Times New Roman" w:cs="Times New Roman"/>
          <w:sz w:val="24"/>
          <w:szCs w:val="24"/>
        </w:rPr>
        <w:t>wyższą kwotę wsparcia.</w:t>
      </w:r>
    </w:p>
    <w:p w14:paraId="1C100A6C" w14:textId="77777777" w:rsidR="008563DA" w:rsidRPr="008563DA" w:rsidRDefault="008563DA" w:rsidP="00827660">
      <w:pPr>
        <w:pStyle w:val="Nagwek1"/>
      </w:pPr>
      <w:r w:rsidRPr="008563DA">
        <w:t>Przeznaczenie środków</w:t>
      </w:r>
    </w:p>
    <w:p w14:paraId="2E6C816A" w14:textId="77777777" w:rsidR="00C53051" w:rsidRPr="00C53051" w:rsidRDefault="00C53051" w:rsidP="009F216A">
      <w:pPr>
        <w:pStyle w:val="Akapitzlist"/>
        <w:numPr>
          <w:ilvl w:val="0"/>
          <w:numId w:val="14"/>
        </w:numPr>
        <w:spacing w:after="120" w:line="276" w:lineRule="auto"/>
        <w:contextualSpacing w:val="0"/>
        <w:jc w:val="both"/>
        <w:rPr>
          <w:rFonts w:ascii="Times New Roman" w:hAnsi="Times New Roman" w:cs="Times New Roman"/>
          <w:sz w:val="24"/>
          <w:szCs w:val="24"/>
        </w:rPr>
      </w:pPr>
      <w:r w:rsidRPr="00C53051">
        <w:rPr>
          <w:rFonts w:ascii="Times New Roman" w:hAnsi="Times New Roman" w:cs="Times New Roman"/>
          <w:sz w:val="24"/>
          <w:szCs w:val="24"/>
        </w:rPr>
        <w:t xml:space="preserve">Wydatki na </w:t>
      </w:r>
      <w:r>
        <w:rPr>
          <w:rFonts w:ascii="Times New Roman" w:hAnsi="Times New Roman" w:cs="Times New Roman"/>
          <w:sz w:val="24"/>
          <w:szCs w:val="24"/>
        </w:rPr>
        <w:t>realizację przedsięwzięć</w:t>
      </w:r>
      <w:r w:rsidRPr="00C53051">
        <w:rPr>
          <w:rFonts w:ascii="Times New Roman" w:hAnsi="Times New Roman" w:cs="Times New Roman"/>
          <w:sz w:val="24"/>
          <w:szCs w:val="24"/>
        </w:rPr>
        <w:t xml:space="preserve"> obejmą </w:t>
      </w:r>
      <w:r w:rsidRPr="00931D10">
        <w:rPr>
          <w:rFonts w:ascii="Times New Roman" w:hAnsi="Times New Roman" w:cs="Times New Roman"/>
          <w:b/>
          <w:sz w:val="24"/>
          <w:szCs w:val="24"/>
        </w:rPr>
        <w:t>dwie</w:t>
      </w:r>
      <w:r w:rsidRPr="00C53051">
        <w:rPr>
          <w:rFonts w:ascii="Times New Roman" w:hAnsi="Times New Roman" w:cs="Times New Roman"/>
          <w:sz w:val="24"/>
          <w:szCs w:val="24"/>
        </w:rPr>
        <w:t xml:space="preserve"> kategorie kosztów: </w:t>
      </w:r>
    </w:p>
    <w:p w14:paraId="13AD917B" w14:textId="77777777" w:rsidR="00C53051" w:rsidRPr="00C53051" w:rsidRDefault="00C53051" w:rsidP="009F216A">
      <w:pPr>
        <w:pStyle w:val="Akapitzlist"/>
        <w:numPr>
          <w:ilvl w:val="0"/>
          <w:numId w:val="15"/>
        </w:numPr>
        <w:spacing w:after="120" w:line="276" w:lineRule="auto"/>
        <w:contextualSpacing w:val="0"/>
        <w:jc w:val="both"/>
        <w:rPr>
          <w:rFonts w:ascii="Times New Roman" w:hAnsi="Times New Roman" w:cs="Times New Roman"/>
          <w:sz w:val="24"/>
          <w:szCs w:val="24"/>
        </w:rPr>
      </w:pPr>
      <w:r w:rsidRPr="00931D10">
        <w:rPr>
          <w:rFonts w:ascii="Times New Roman" w:hAnsi="Times New Roman" w:cs="Times New Roman"/>
          <w:b/>
          <w:sz w:val="24"/>
          <w:szCs w:val="24"/>
        </w:rPr>
        <w:t>wydatki inwestycyjne</w:t>
      </w:r>
      <w:r w:rsidRPr="00C53051">
        <w:rPr>
          <w:rFonts w:ascii="Times New Roman" w:hAnsi="Times New Roman" w:cs="Times New Roman"/>
          <w:sz w:val="24"/>
          <w:szCs w:val="24"/>
        </w:rPr>
        <w:t>, które stanowić mogą nie mniej niż 70%</w:t>
      </w:r>
      <w:r>
        <w:rPr>
          <w:rFonts w:ascii="Times New Roman" w:hAnsi="Times New Roman" w:cs="Times New Roman"/>
          <w:sz w:val="24"/>
          <w:szCs w:val="24"/>
        </w:rPr>
        <w:t xml:space="preserve"> przyznanych środków, które mogą</w:t>
      </w:r>
      <w:r w:rsidRPr="00C53051">
        <w:rPr>
          <w:rFonts w:ascii="Times New Roman" w:hAnsi="Times New Roman" w:cs="Times New Roman"/>
          <w:sz w:val="24"/>
          <w:szCs w:val="24"/>
        </w:rPr>
        <w:t xml:space="preserve"> być</w:t>
      </w:r>
      <w:r>
        <w:rPr>
          <w:rFonts w:ascii="Times New Roman" w:hAnsi="Times New Roman" w:cs="Times New Roman"/>
          <w:sz w:val="24"/>
          <w:szCs w:val="24"/>
        </w:rPr>
        <w:t xml:space="preserve"> przeznaczone</w:t>
      </w:r>
      <w:r w:rsidRPr="00C53051">
        <w:rPr>
          <w:rFonts w:ascii="Times New Roman" w:hAnsi="Times New Roman" w:cs="Times New Roman"/>
          <w:sz w:val="24"/>
          <w:szCs w:val="24"/>
        </w:rPr>
        <w:t xml:space="preserve"> np. na: zakup środków trwałych, przeprowadzenie remontu pomieszczeń zapewnienie pracownikom szkoleń, zakup licencji, oprogramowania, opracowanie analiz strategii i planów działania,</w:t>
      </w:r>
    </w:p>
    <w:p w14:paraId="04B2EA96" w14:textId="77777777" w:rsidR="00C53051" w:rsidRPr="00C53051" w:rsidRDefault="00C53051" w:rsidP="009F216A">
      <w:pPr>
        <w:pStyle w:val="Akapitzlist"/>
        <w:numPr>
          <w:ilvl w:val="0"/>
          <w:numId w:val="15"/>
        </w:numPr>
        <w:spacing w:after="120" w:line="276" w:lineRule="auto"/>
        <w:contextualSpacing w:val="0"/>
        <w:jc w:val="both"/>
        <w:rPr>
          <w:rFonts w:ascii="Times New Roman" w:hAnsi="Times New Roman" w:cs="Times New Roman"/>
          <w:sz w:val="24"/>
          <w:szCs w:val="24"/>
        </w:rPr>
      </w:pPr>
      <w:r w:rsidRPr="00931D10">
        <w:rPr>
          <w:rFonts w:ascii="Times New Roman" w:hAnsi="Times New Roman" w:cs="Times New Roman"/>
          <w:b/>
          <w:sz w:val="24"/>
          <w:szCs w:val="24"/>
        </w:rPr>
        <w:lastRenderedPageBreak/>
        <w:t>wydatki bieżące</w:t>
      </w:r>
      <w:r w:rsidRPr="00C53051">
        <w:rPr>
          <w:rFonts w:ascii="Times New Roman" w:hAnsi="Times New Roman" w:cs="Times New Roman"/>
          <w:sz w:val="24"/>
          <w:szCs w:val="24"/>
        </w:rPr>
        <w:t xml:space="preserve">, które stanowić mogą nie więcej niż 30% </w:t>
      </w:r>
      <w:r>
        <w:rPr>
          <w:rFonts w:ascii="Times New Roman" w:hAnsi="Times New Roman" w:cs="Times New Roman"/>
          <w:sz w:val="24"/>
          <w:szCs w:val="24"/>
        </w:rPr>
        <w:t xml:space="preserve">przyznanych </w:t>
      </w:r>
      <w:r w:rsidRPr="00C53051">
        <w:rPr>
          <w:rFonts w:ascii="Times New Roman" w:hAnsi="Times New Roman" w:cs="Times New Roman"/>
          <w:sz w:val="24"/>
          <w:szCs w:val="24"/>
        </w:rPr>
        <w:t>środków które mogą być przeznaczone np. na: koszty mediów, energii elektrycznej ponoszone w związku z realizowan</w:t>
      </w:r>
      <w:r>
        <w:rPr>
          <w:rFonts w:ascii="Times New Roman" w:hAnsi="Times New Roman" w:cs="Times New Roman"/>
          <w:sz w:val="24"/>
          <w:szCs w:val="24"/>
        </w:rPr>
        <w:t>ym przedsięwzięciem,</w:t>
      </w:r>
      <w:r w:rsidRPr="00C53051">
        <w:rPr>
          <w:rFonts w:ascii="Times New Roman" w:hAnsi="Times New Roman" w:cs="Times New Roman"/>
          <w:sz w:val="24"/>
          <w:szCs w:val="24"/>
        </w:rPr>
        <w:t xml:space="preserve"> wynagrodzenie osób bezpośrednio zaangażowanych w działania </w:t>
      </w:r>
      <w:r>
        <w:rPr>
          <w:rFonts w:ascii="Times New Roman" w:hAnsi="Times New Roman" w:cs="Times New Roman"/>
          <w:sz w:val="24"/>
          <w:szCs w:val="24"/>
        </w:rPr>
        <w:t>objęte wnioskiem</w:t>
      </w:r>
      <w:r w:rsidRPr="00C53051">
        <w:rPr>
          <w:rFonts w:ascii="Times New Roman" w:hAnsi="Times New Roman" w:cs="Times New Roman"/>
          <w:sz w:val="24"/>
          <w:szCs w:val="24"/>
        </w:rPr>
        <w:t>.</w:t>
      </w:r>
    </w:p>
    <w:p w14:paraId="5EDE3A3B" w14:textId="77777777" w:rsidR="0072121D" w:rsidRDefault="00931D10" w:rsidP="009F216A">
      <w:pPr>
        <w:pStyle w:val="Akapitzlist"/>
        <w:numPr>
          <w:ilvl w:val="0"/>
          <w:numId w:val="14"/>
        </w:numPr>
        <w:spacing w:after="120" w:line="276" w:lineRule="auto"/>
        <w:contextualSpacing w:val="0"/>
        <w:jc w:val="both"/>
        <w:rPr>
          <w:rFonts w:ascii="Times New Roman" w:hAnsi="Times New Roman" w:cs="Times New Roman"/>
          <w:b/>
          <w:sz w:val="24"/>
          <w:szCs w:val="24"/>
        </w:rPr>
      </w:pPr>
      <w:r w:rsidRPr="00931D10">
        <w:rPr>
          <w:rFonts w:ascii="Times New Roman" w:hAnsi="Times New Roman" w:cs="Times New Roman"/>
          <w:sz w:val="24"/>
          <w:szCs w:val="24"/>
        </w:rPr>
        <w:t>Kosztami</w:t>
      </w:r>
      <w:r>
        <w:rPr>
          <w:rFonts w:ascii="Times New Roman" w:hAnsi="Times New Roman" w:cs="Times New Roman"/>
          <w:b/>
          <w:sz w:val="24"/>
          <w:szCs w:val="24"/>
        </w:rPr>
        <w:t xml:space="preserve"> niekwalifikowanymi będą: </w:t>
      </w:r>
    </w:p>
    <w:p w14:paraId="0E6CDD0D" w14:textId="77777777" w:rsidR="00931D10" w:rsidRPr="00931D10" w:rsidRDefault="00931D10" w:rsidP="009F216A">
      <w:pPr>
        <w:pStyle w:val="Akapitzlist"/>
        <w:numPr>
          <w:ilvl w:val="0"/>
          <w:numId w:val="18"/>
        </w:numPr>
        <w:spacing w:after="12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koszty</w:t>
      </w:r>
      <w:r w:rsidRPr="00931D10">
        <w:rPr>
          <w:rFonts w:ascii="Times New Roman" w:hAnsi="Times New Roman" w:cs="Times New Roman"/>
          <w:sz w:val="24"/>
          <w:szCs w:val="24"/>
        </w:rPr>
        <w:t xml:space="preserve"> utrzymania biura wnioskodawcy starającego się o przyznanie dotacji (w tym także wydatków na wynagrodzenia pracowników), o ile nie służą one bezpośrednio realizacji działań modernizacyjnych zadań w ramach projektu,</w:t>
      </w:r>
    </w:p>
    <w:p w14:paraId="0168F99E" w14:textId="7C05E0F2" w:rsidR="00931D10" w:rsidRPr="00931D10" w:rsidRDefault="00931D10" w:rsidP="009F216A">
      <w:pPr>
        <w:pStyle w:val="Akapitzlist"/>
        <w:numPr>
          <w:ilvl w:val="0"/>
          <w:numId w:val="18"/>
        </w:numPr>
        <w:spacing w:after="120" w:line="276" w:lineRule="auto"/>
        <w:contextualSpacing w:val="0"/>
        <w:jc w:val="both"/>
        <w:rPr>
          <w:rFonts w:ascii="Times New Roman" w:hAnsi="Times New Roman" w:cs="Times New Roman"/>
          <w:sz w:val="24"/>
          <w:szCs w:val="24"/>
        </w:rPr>
      </w:pPr>
      <w:r w:rsidRPr="00931D10">
        <w:rPr>
          <w:rFonts w:ascii="Times New Roman" w:hAnsi="Times New Roman" w:cs="Times New Roman"/>
          <w:sz w:val="24"/>
          <w:szCs w:val="24"/>
        </w:rPr>
        <w:t>koszty związane ze świadczeniami pieniężnymi wynika</w:t>
      </w:r>
      <w:r w:rsidR="00D9315A">
        <w:rPr>
          <w:rFonts w:ascii="Times New Roman" w:hAnsi="Times New Roman" w:cs="Times New Roman"/>
          <w:sz w:val="24"/>
          <w:szCs w:val="24"/>
        </w:rPr>
        <w:t>jącymi z przepisów ustawy z </w:t>
      </w:r>
      <w:r w:rsidRPr="00931D10">
        <w:rPr>
          <w:rFonts w:ascii="Times New Roman" w:hAnsi="Times New Roman" w:cs="Times New Roman"/>
          <w:sz w:val="24"/>
          <w:szCs w:val="24"/>
        </w:rPr>
        <w:t>dnia 12 marca 2004 r. o pomocy społecznej, ust</w:t>
      </w:r>
      <w:r w:rsidR="00D9315A">
        <w:rPr>
          <w:rFonts w:ascii="Times New Roman" w:hAnsi="Times New Roman" w:cs="Times New Roman"/>
          <w:sz w:val="24"/>
          <w:szCs w:val="24"/>
        </w:rPr>
        <w:t>awy z dnia 13 czerwca 2003 r. o </w:t>
      </w:r>
      <w:r w:rsidRPr="00931D10">
        <w:rPr>
          <w:rFonts w:ascii="Times New Roman" w:hAnsi="Times New Roman" w:cs="Times New Roman"/>
          <w:sz w:val="24"/>
          <w:szCs w:val="24"/>
        </w:rPr>
        <w:t>zatrudnieniu socjalnym, ustawy z dnia 20 kwietnia 2004 r. o promocji zatrudnienia i instytucjach rynku pracy,</w:t>
      </w:r>
    </w:p>
    <w:p w14:paraId="333CD739" w14:textId="77777777" w:rsidR="00931D10" w:rsidRPr="00931D10" w:rsidRDefault="00931D10" w:rsidP="009F216A">
      <w:pPr>
        <w:pStyle w:val="Akapitzlist"/>
        <w:numPr>
          <w:ilvl w:val="0"/>
          <w:numId w:val="18"/>
        </w:numPr>
        <w:spacing w:after="120" w:line="276" w:lineRule="auto"/>
        <w:contextualSpacing w:val="0"/>
        <w:jc w:val="both"/>
        <w:rPr>
          <w:rFonts w:ascii="Times New Roman" w:hAnsi="Times New Roman" w:cs="Times New Roman"/>
          <w:sz w:val="24"/>
          <w:szCs w:val="24"/>
        </w:rPr>
      </w:pPr>
      <w:r w:rsidRPr="00931D10">
        <w:rPr>
          <w:rFonts w:ascii="Times New Roman" w:hAnsi="Times New Roman" w:cs="Times New Roman"/>
          <w:sz w:val="24"/>
          <w:szCs w:val="24"/>
        </w:rPr>
        <w:t>spłata zaległych zobowiązań finansowych oferenta,</w:t>
      </w:r>
    </w:p>
    <w:p w14:paraId="401981B8" w14:textId="77777777" w:rsidR="00931D10" w:rsidRPr="00931D10" w:rsidRDefault="00931D10" w:rsidP="009F216A">
      <w:pPr>
        <w:pStyle w:val="Akapitzlist"/>
        <w:numPr>
          <w:ilvl w:val="0"/>
          <w:numId w:val="18"/>
        </w:numPr>
        <w:spacing w:after="120" w:line="276" w:lineRule="auto"/>
        <w:contextualSpacing w:val="0"/>
        <w:jc w:val="both"/>
        <w:rPr>
          <w:rFonts w:ascii="Times New Roman" w:hAnsi="Times New Roman" w:cs="Times New Roman"/>
          <w:sz w:val="24"/>
          <w:szCs w:val="24"/>
        </w:rPr>
      </w:pPr>
      <w:r w:rsidRPr="00931D10">
        <w:rPr>
          <w:rFonts w:ascii="Times New Roman" w:hAnsi="Times New Roman" w:cs="Times New Roman"/>
          <w:sz w:val="24"/>
          <w:szCs w:val="24"/>
        </w:rPr>
        <w:t>koszty obsługi rachunku bankowego (nie dotyczy kosztów przelewów dokonywanych w ramach realizacji zadać przewidzianych we wniosku),</w:t>
      </w:r>
    </w:p>
    <w:p w14:paraId="2D925749" w14:textId="77777777" w:rsidR="00931D10" w:rsidRPr="009F216A" w:rsidRDefault="00931D10" w:rsidP="009F216A">
      <w:pPr>
        <w:pStyle w:val="Akapitzlist"/>
        <w:numPr>
          <w:ilvl w:val="0"/>
          <w:numId w:val="18"/>
        </w:numPr>
        <w:spacing w:after="120" w:line="276" w:lineRule="auto"/>
        <w:contextualSpacing w:val="0"/>
        <w:jc w:val="both"/>
        <w:rPr>
          <w:rFonts w:ascii="Times New Roman" w:hAnsi="Times New Roman" w:cs="Times New Roman"/>
          <w:b/>
          <w:sz w:val="24"/>
          <w:szCs w:val="24"/>
        </w:rPr>
      </w:pPr>
      <w:r w:rsidRPr="009F216A">
        <w:rPr>
          <w:rFonts w:ascii="Times New Roman" w:hAnsi="Times New Roman" w:cs="Times New Roman"/>
          <w:b/>
          <w:sz w:val="24"/>
          <w:szCs w:val="24"/>
        </w:rPr>
        <w:t xml:space="preserve">podatek od towarów i usług (VAT), </w:t>
      </w:r>
    </w:p>
    <w:p w14:paraId="622B48CF" w14:textId="77777777" w:rsidR="00931D10" w:rsidRPr="00931D10" w:rsidRDefault="00931D10" w:rsidP="009F216A">
      <w:pPr>
        <w:pStyle w:val="Akapitzlist"/>
        <w:numPr>
          <w:ilvl w:val="0"/>
          <w:numId w:val="18"/>
        </w:numPr>
        <w:spacing w:after="120" w:line="276" w:lineRule="auto"/>
        <w:contextualSpacing w:val="0"/>
        <w:jc w:val="both"/>
        <w:rPr>
          <w:rFonts w:ascii="Times New Roman" w:hAnsi="Times New Roman" w:cs="Times New Roman"/>
          <w:sz w:val="24"/>
          <w:szCs w:val="24"/>
        </w:rPr>
      </w:pPr>
      <w:r w:rsidRPr="00931D10">
        <w:rPr>
          <w:rFonts w:ascii="Times New Roman" w:hAnsi="Times New Roman" w:cs="Times New Roman"/>
          <w:sz w:val="24"/>
          <w:szCs w:val="24"/>
        </w:rPr>
        <w:t>zakup nieruchomości gruntowej, lokalowej, budowlanej,</w:t>
      </w:r>
    </w:p>
    <w:p w14:paraId="31951D5E" w14:textId="77777777" w:rsidR="00931D10" w:rsidRPr="00931D10" w:rsidRDefault="00931D10" w:rsidP="009F216A">
      <w:pPr>
        <w:pStyle w:val="Akapitzlist"/>
        <w:numPr>
          <w:ilvl w:val="0"/>
          <w:numId w:val="18"/>
        </w:numPr>
        <w:spacing w:after="120" w:line="276" w:lineRule="auto"/>
        <w:contextualSpacing w:val="0"/>
        <w:jc w:val="both"/>
        <w:rPr>
          <w:rFonts w:ascii="Times New Roman" w:hAnsi="Times New Roman" w:cs="Times New Roman"/>
          <w:sz w:val="24"/>
          <w:szCs w:val="24"/>
        </w:rPr>
      </w:pPr>
      <w:r w:rsidRPr="00931D10">
        <w:rPr>
          <w:rFonts w:ascii="Times New Roman" w:hAnsi="Times New Roman" w:cs="Times New Roman"/>
          <w:sz w:val="24"/>
          <w:szCs w:val="24"/>
        </w:rPr>
        <w:t>amortyzacja,</w:t>
      </w:r>
    </w:p>
    <w:p w14:paraId="409475C4" w14:textId="77777777" w:rsidR="00931D10" w:rsidRPr="00931D10" w:rsidRDefault="00931D10" w:rsidP="009F216A">
      <w:pPr>
        <w:pStyle w:val="Akapitzlist"/>
        <w:numPr>
          <w:ilvl w:val="0"/>
          <w:numId w:val="18"/>
        </w:numPr>
        <w:spacing w:after="120" w:line="276" w:lineRule="auto"/>
        <w:contextualSpacing w:val="0"/>
        <w:jc w:val="both"/>
        <w:rPr>
          <w:rFonts w:ascii="Times New Roman" w:hAnsi="Times New Roman" w:cs="Times New Roman"/>
          <w:sz w:val="24"/>
          <w:szCs w:val="24"/>
        </w:rPr>
      </w:pPr>
      <w:r w:rsidRPr="00931D10">
        <w:rPr>
          <w:rFonts w:ascii="Times New Roman" w:hAnsi="Times New Roman" w:cs="Times New Roman"/>
          <w:sz w:val="24"/>
          <w:szCs w:val="24"/>
        </w:rPr>
        <w:t>leasing,</w:t>
      </w:r>
    </w:p>
    <w:p w14:paraId="1A76B925" w14:textId="77777777" w:rsidR="00931D10" w:rsidRPr="00931D10" w:rsidRDefault="00931D10" w:rsidP="009F216A">
      <w:pPr>
        <w:pStyle w:val="Akapitzlist"/>
        <w:numPr>
          <w:ilvl w:val="0"/>
          <w:numId w:val="18"/>
        </w:numPr>
        <w:spacing w:after="120" w:line="276" w:lineRule="auto"/>
        <w:contextualSpacing w:val="0"/>
        <w:jc w:val="both"/>
        <w:rPr>
          <w:rFonts w:ascii="Times New Roman" w:hAnsi="Times New Roman" w:cs="Times New Roman"/>
          <w:sz w:val="24"/>
          <w:szCs w:val="24"/>
        </w:rPr>
      </w:pPr>
      <w:r w:rsidRPr="00931D10">
        <w:rPr>
          <w:rFonts w:ascii="Times New Roman" w:hAnsi="Times New Roman" w:cs="Times New Roman"/>
          <w:sz w:val="24"/>
          <w:szCs w:val="24"/>
        </w:rPr>
        <w:t>rezerwy na pokrycie przyszłych strat lub zobowiązań,</w:t>
      </w:r>
    </w:p>
    <w:p w14:paraId="57A98B38" w14:textId="77777777" w:rsidR="00931D10" w:rsidRPr="00931D10" w:rsidRDefault="00931D10" w:rsidP="009F216A">
      <w:pPr>
        <w:pStyle w:val="Akapitzlist"/>
        <w:numPr>
          <w:ilvl w:val="0"/>
          <w:numId w:val="18"/>
        </w:numPr>
        <w:spacing w:after="120" w:line="276" w:lineRule="auto"/>
        <w:contextualSpacing w:val="0"/>
        <w:jc w:val="both"/>
        <w:rPr>
          <w:rFonts w:ascii="Times New Roman" w:hAnsi="Times New Roman" w:cs="Times New Roman"/>
          <w:sz w:val="24"/>
          <w:szCs w:val="24"/>
        </w:rPr>
      </w:pPr>
      <w:r w:rsidRPr="00931D10">
        <w:rPr>
          <w:rFonts w:ascii="Times New Roman" w:hAnsi="Times New Roman" w:cs="Times New Roman"/>
          <w:sz w:val="24"/>
          <w:szCs w:val="24"/>
        </w:rPr>
        <w:t>odsetki z tytułu niezapłaconych w terminie zobowiązań,</w:t>
      </w:r>
    </w:p>
    <w:p w14:paraId="1E4EC7D3" w14:textId="77777777" w:rsidR="00931D10" w:rsidRPr="00931D10" w:rsidRDefault="00931D10" w:rsidP="009F216A">
      <w:pPr>
        <w:pStyle w:val="Akapitzlist"/>
        <w:numPr>
          <w:ilvl w:val="0"/>
          <w:numId w:val="18"/>
        </w:numPr>
        <w:spacing w:after="120" w:line="276" w:lineRule="auto"/>
        <w:contextualSpacing w:val="0"/>
        <w:jc w:val="both"/>
        <w:rPr>
          <w:rFonts w:ascii="Times New Roman" w:hAnsi="Times New Roman" w:cs="Times New Roman"/>
          <w:sz w:val="24"/>
          <w:szCs w:val="24"/>
        </w:rPr>
      </w:pPr>
      <w:r w:rsidRPr="00931D10">
        <w:rPr>
          <w:rFonts w:ascii="Times New Roman" w:hAnsi="Times New Roman" w:cs="Times New Roman"/>
          <w:sz w:val="24"/>
          <w:szCs w:val="24"/>
        </w:rPr>
        <w:t>koszty kar i grzywien,</w:t>
      </w:r>
    </w:p>
    <w:p w14:paraId="4F54B362" w14:textId="77777777" w:rsidR="00931D10" w:rsidRPr="00931D10" w:rsidRDefault="00931D10" w:rsidP="009F216A">
      <w:pPr>
        <w:pStyle w:val="Akapitzlist"/>
        <w:numPr>
          <w:ilvl w:val="0"/>
          <w:numId w:val="18"/>
        </w:numPr>
        <w:spacing w:after="120" w:line="276" w:lineRule="auto"/>
        <w:contextualSpacing w:val="0"/>
        <w:jc w:val="both"/>
        <w:rPr>
          <w:rFonts w:ascii="Times New Roman" w:hAnsi="Times New Roman" w:cs="Times New Roman"/>
          <w:sz w:val="24"/>
          <w:szCs w:val="24"/>
        </w:rPr>
      </w:pPr>
      <w:r w:rsidRPr="00931D10">
        <w:rPr>
          <w:rFonts w:ascii="Times New Roman" w:hAnsi="Times New Roman" w:cs="Times New Roman"/>
          <w:sz w:val="24"/>
          <w:szCs w:val="24"/>
        </w:rPr>
        <w:t>koszty procesów sądowych (z wyjątkiem spraw prowadzonych w interesie publicznym),</w:t>
      </w:r>
    </w:p>
    <w:p w14:paraId="7F72863F" w14:textId="77777777" w:rsidR="00931D10" w:rsidRPr="00931D10" w:rsidRDefault="00931D10" w:rsidP="009F216A">
      <w:pPr>
        <w:pStyle w:val="Akapitzlist"/>
        <w:numPr>
          <w:ilvl w:val="0"/>
          <w:numId w:val="18"/>
        </w:numPr>
        <w:spacing w:after="120" w:line="276" w:lineRule="auto"/>
        <w:contextualSpacing w:val="0"/>
        <w:jc w:val="both"/>
        <w:rPr>
          <w:rFonts w:ascii="Times New Roman" w:hAnsi="Times New Roman" w:cs="Times New Roman"/>
          <w:sz w:val="24"/>
          <w:szCs w:val="24"/>
        </w:rPr>
      </w:pPr>
      <w:r w:rsidRPr="00931D10">
        <w:rPr>
          <w:rFonts w:ascii="Times New Roman" w:hAnsi="Times New Roman" w:cs="Times New Roman"/>
          <w:sz w:val="24"/>
          <w:szCs w:val="24"/>
        </w:rPr>
        <w:t>nagrody, premie i inne formy bonifikaty rzeczowej lub finansowej dla osób zajmujących się realizacją projektu,</w:t>
      </w:r>
    </w:p>
    <w:p w14:paraId="6795224F" w14:textId="77777777" w:rsidR="00931D10" w:rsidRPr="00931D10" w:rsidRDefault="00931D10" w:rsidP="009F216A">
      <w:pPr>
        <w:pStyle w:val="Akapitzlist"/>
        <w:numPr>
          <w:ilvl w:val="0"/>
          <w:numId w:val="18"/>
        </w:numPr>
        <w:spacing w:after="120" w:line="276" w:lineRule="auto"/>
        <w:contextualSpacing w:val="0"/>
        <w:jc w:val="both"/>
        <w:rPr>
          <w:rFonts w:ascii="Times New Roman" w:hAnsi="Times New Roman" w:cs="Times New Roman"/>
          <w:sz w:val="24"/>
          <w:szCs w:val="24"/>
        </w:rPr>
      </w:pPr>
      <w:r w:rsidRPr="00931D10">
        <w:rPr>
          <w:rFonts w:ascii="Times New Roman" w:hAnsi="Times New Roman" w:cs="Times New Roman"/>
          <w:sz w:val="24"/>
          <w:szCs w:val="24"/>
        </w:rPr>
        <w:t>zakup napojów alkoholowych (jest to niezgodne z art. 1 ust. 1 ustawy z dnia 26 października 1982 r. o wychowaniu w trzeźwości i przeciwdziałaniu alkoholizmowi (Dz. U. z 2019 r. poz. 2277, z późn. zm.)),</w:t>
      </w:r>
    </w:p>
    <w:p w14:paraId="5F52219D" w14:textId="77777777" w:rsidR="00931D10" w:rsidRPr="00931D10" w:rsidRDefault="00931D10" w:rsidP="009F216A">
      <w:pPr>
        <w:pStyle w:val="Akapitzlist"/>
        <w:numPr>
          <w:ilvl w:val="0"/>
          <w:numId w:val="18"/>
        </w:numPr>
        <w:spacing w:after="120" w:line="276" w:lineRule="auto"/>
        <w:contextualSpacing w:val="0"/>
        <w:jc w:val="both"/>
        <w:rPr>
          <w:rFonts w:ascii="Times New Roman" w:hAnsi="Times New Roman" w:cs="Times New Roman"/>
          <w:sz w:val="24"/>
          <w:szCs w:val="24"/>
        </w:rPr>
      </w:pPr>
      <w:r w:rsidRPr="00931D10">
        <w:rPr>
          <w:rFonts w:ascii="Times New Roman" w:hAnsi="Times New Roman" w:cs="Times New Roman"/>
          <w:sz w:val="24"/>
          <w:szCs w:val="24"/>
        </w:rPr>
        <w:t>podatki i opłaty, z wyłączeniem podatku dochodowego od osób fizycznych, składek na ubezpieczenie społeczne i zdrowotne, składek na Fundusz Pracy, składek na Solidarnościowy Fundusz Wsparcia Osób Niepełnosprawnych oraz Fundusz Gwarantowanych Świadczeń Pracowniczych,</w:t>
      </w:r>
    </w:p>
    <w:p w14:paraId="6CE079F8" w14:textId="77777777" w:rsidR="00931D10" w:rsidRPr="00931D10" w:rsidRDefault="00931D10" w:rsidP="009F216A">
      <w:pPr>
        <w:pStyle w:val="Akapitzlist"/>
        <w:numPr>
          <w:ilvl w:val="0"/>
          <w:numId w:val="18"/>
        </w:numPr>
        <w:spacing w:after="120" w:line="276" w:lineRule="auto"/>
        <w:contextualSpacing w:val="0"/>
        <w:jc w:val="both"/>
        <w:rPr>
          <w:rFonts w:ascii="Times New Roman" w:hAnsi="Times New Roman" w:cs="Times New Roman"/>
          <w:sz w:val="24"/>
          <w:szCs w:val="24"/>
        </w:rPr>
      </w:pPr>
      <w:r w:rsidRPr="00931D10">
        <w:rPr>
          <w:rFonts w:ascii="Times New Roman" w:hAnsi="Times New Roman" w:cs="Times New Roman"/>
          <w:sz w:val="24"/>
          <w:szCs w:val="24"/>
        </w:rPr>
        <w:t>koszty wyjazdów służbowych osób zaangażowanych w realizację projektu na podstawie umowy cywilnoprawnej, chyba że umowa ta określa zasady i sposób podróży służbowych.</w:t>
      </w:r>
    </w:p>
    <w:p w14:paraId="7AB41B8C" w14:textId="28564C7F" w:rsidR="0072121D" w:rsidRPr="00931D10" w:rsidRDefault="00931D10" w:rsidP="009F216A">
      <w:pPr>
        <w:pStyle w:val="Akapitzlist"/>
        <w:numPr>
          <w:ilvl w:val="0"/>
          <w:numId w:val="14"/>
        </w:numPr>
        <w:spacing w:after="120" w:line="240" w:lineRule="auto"/>
        <w:contextualSpacing w:val="0"/>
        <w:jc w:val="both"/>
        <w:rPr>
          <w:rFonts w:ascii="Times New Roman" w:hAnsi="Times New Roman" w:cs="Times New Roman"/>
          <w:b/>
          <w:sz w:val="24"/>
          <w:szCs w:val="24"/>
        </w:rPr>
      </w:pPr>
      <w:r w:rsidRPr="00931D10">
        <w:rPr>
          <w:rFonts w:ascii="Times New Roman" w:hAnsi="Times New Roman" w:cs="Times New Roman"/>
          <w:sz w:val="24"/>
          <w:szCs w:val="24"/>
        </w:rPr>
        <w:lastRenderedPageBreak/>
        <w:t>Bez względu na formę prawną, oraz formę prowadzonej działalności PES</w:t>
      </w:r>
      <w:r w:rsidR="00D9315A">
        <w:rPr>
          <w:rFonts w:ascii="Times New Roman" w:hAnsi="Times New Roman" w:cs="Times New Roman"/>
          <w:sz w:val="24"/>
          <w:szCs w:val="24"/>
        </w:rPr>
        <w:t xml:space="preserve"> wnioskujących o </w:t>
      </w:r>
      <w:r w:rsidRPr="00931D10">
        <w:rPr>
          <w:rFonts w:ascii="Times New Roman" w:hAnsi="Times New Roman" w:cs="Times New Roman"/>
          <w:sz w:val="24"/>
          <w:szCs w:val="24"/>
        </w:rPr>
        <w:t xml:space="preserve">wsparcie </w:t>
      </w:r>
      <w:r w:rsidRPr="00931D10">
        <w:rPr>
          <w:rFonts w:ascii="Times New Roman" w:hAnsi="Times New Roman" w:cs="Times New Roman"/>
          <w:b/>
          <w:sz w:val="24"/>
          <w:szCs w:val="24"/>
        </w:rPr>
        <w:t>podatek VAT będzie niekwalifikowany</w:t>
      </w:r>
      <w:r w:rsidRPr="00931D10">
        <w:rPr>
          <w:rFonts w:ascii="Times New Roman" w:hAnsi="Times New Roman" w:cs="Times New Roman"/>
          <w:sz w:val="24"/>
          <w:szCs w:val="24"/>
        </w:rPr>
        <w:t>.</w:t>
      </w:r>
    </w:p>
    <w:p w14:paraId="6A91BED2" w14:textId="77777777" w:rsidR="00680E20" w:rsidRPr="00520843" w:rsidRDefault="00680E20" w:rsidP="00827660">
      <w:pPr>
        <w:pStyle w:val="Nagwek1"/>
      </w:pPr>
      <w:r w:rsidRPr="00520843">
        <w:t>Demarkacja</w:t>
      </w:r>
      <w:r>
        <w:t xml:space="preserve"> KPO – EFS</w:t>
      </w:r>
      <w:r w:rsidR="00931D10">
        <w:t xml:space="preserve"> i EFS + i pomoc de minimis.</w:t>
      </w:r>
    </w:p>
    <w:p w14:paraId="74526CF5" w14:textId="77777777" w:rsidR="00931D10" w:rsidRDefault="00931D10" w:rsidP="009F216A">
      <w:pPr>
        <w:pStyle w:val="Akapitzlist"/>
        <w:numPr>
          <w:ilvl w:val="0"/>
          <w:numId w:val="9"/>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Wsparcie w ramach programu udzielane będzie jako </w:t>
      </w:r>
      <w:r w:rsidRPr="009F216A">
        <w:rPr>
          <w:rFonts w:ascii="Times New Roman" w:hAnsi="Times New Roman" w:cs="Times New Roman"/>
          <w:b/>
          <w:sz w:val="24"/>
          <w:szCs w:val="24"/>
        </w:rPr>
        <w:t>pomoc de minimis</w:t>
      </w:r>
      <w:r>
        <w:rPr>
          <w:rFonts w:ascii="Times New Roman" w:hAnsi="Times New Roman" w:cs="Times New Roman"/>
          <w:sz w:val="24"/>
          <w:szCs w:val="24"/>
        </w:rPr>
        <w:t>.</w:t>
      </w:r>
    </w:p>
    <w:p w14:paraId="192AD7B6" w14:textId="77777777" w:rsidR="00931D10" w:rsidRDefault="00931D10" w:rsidP="009F216A">
      <w:pPr>
        <w:pStyle w:val="Akapitzlist"/>
        <w:numPr>
          <w:ilvl w:val="0"/>
          <w:numId w:val="9"/>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Wsparcie w ramach programu będą mogły uzyskać podmioty, które nie korzystały ze wsparcia dedykowanego podmiotom ekonomii społecznej finansowanego z EFS lub EFS+.</w:t>
      </w:r>
    </w:p>
    <w:p w14:paraId="1BA21964" w14:textId="77777777" w:rsidR="0041777A" w:rsidRDefault="00931D10" w:rsidP="009F216A">
      <w:pPr>
        <w:pStyle w:val="Akapitzlist"/>
        <w:numPr>
          <w:ilvl w:val="0"/>
          <w:numId w:val="9"/>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Wsparcie w ramach programu będą mogły również uzyskać podmioty, które:</w:t>
      </w:r>
    </w:p>
    <w:p w14:paraId="34B4D49D" w14:textId="77777777" w:rsidR="00931D10" w:rsidRDefault="009F216A" w:rsidP="009F216A">
      <w:pPr>
        <w:pStyle w:val="Akapitzlist"/>
        <w:numPr>
          <w:ilvl w:val="0"/>
          <w:numId w:val="19"/>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s</w:t>
      </w:r>
      <w:r w:rsidR="00931D10">
        <w:rPr>
          <w:rFonts w:ascii="Times New Roman" w:hAnsi="Times New Roman" w:cs="Times New Roman"/>
          <w:sz w:val="24"/>
          <w:szCs w:val="24"/>
        </w:rPr>
        <w:t xml:space="preserve">korzystały </w:t>
      </w:r>
      <w:r>
        <w:rPr>
          <w:rFonts w:ascii="Times New Roman" w:hAnsi="Times New Roman" w:cs="Times New Roman"/>
          <w:sz w:val="24"/>
          <w:szCs w:val="24"/>
        </w:rPr>
        <w:t xml:space="preserve">z finansowego </w:t>
      </w:r>
      <w:r w:rsidR="00931D10">
        <w:rPr>
          <w:rFonts w:ascii="Times New Roman" w:hAnsi="Times New Roman" w:cs="Times New Roman"/>
          <w:sz w:val="24"/>
          <w:szCs w:val="24"/>
        </w:rPr>
        <w:t xml:space="preserve">wsparcia </w:t>
      </w:r>
      <w:r w:rsidR="00931D10" w:rsidRPr="00931D10">
        <w:rPr>
          <w:rFonts w:ascii="Times New Roman" w:hAnsi="Times New Roman" w:cs="Times New Roman"/>
          <w:b/>
          <w:sz w:val="24"/>
          <w:szCs w:val="24"/>
        </w:rPr>
        <w:t>zwrotnego</w:t>
      </w:r>
      <w:r w:rsidR="00931D10">
        <w:rPr>
          <w:rFonts w:ascii="Times New Roman" w:hAnsi="Times New Roman" w:cs="Times New Roman"/>
          <w:sz w:val="24"/>
          <w:szCs w:val="24"/>
        </w:rPr>
        <w:t xml:space="preserve"> z EFS lub EFS+, ale zostało ono rozliczone lub jest przeznaczone na inny cel niż wsparcie z KPO.</w:t>
      </w:r>
    </w:p>
    <w:p w14:paraId="184D6939" w14:textId="06003F98" w:rsidR="00931D10" w:rsidRDefault="009F216A" w:rsidP="009F216A">
      <w:pPr>
        <w:pStyle w:val="Akapitzlist"/>
        <w:numPr>
          <w:ilvl w:val="0"/>
          <w:numId w:val="19"/>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s</w:t>
      </w:r>
      <w:r w:rsidR="00931D10">
        <w:rPr>
          <w:rFonts w:ascii="Times New Roman" w:hAnsi="Times New Roman" w:cs="Times New Roman"/>
          <w:sz w:val="24"/>
          <w:szCs w:val="24"/>
        </w:rPr>
        <w:t xml:space="preserve">korzystały z </w:t>
      </w:r>
      <w:r>
        <w:rPr>
          <w:rFonts w:ascii="Times New Roman" w:hAnsi="Times New Roman" w:cs="Times New Roman"/>
          <w:sz w:val="24"/>
          <w:szCs w:val="24"/>
        </w:rPr>
        <w:t xml:space="preserve">finansowego </w:t>
      </w:r>
      <w:r w:rsidR="00931D10">
        <w:rPr>
          <w:rFonts w:ascii="Times New Roman" w:hAnsi="Times New Roman" w:cs="Times New Roman"/>
          <w:sz w:val="24"/>
          <w:szCs w:val="24"/>
        </w:rPr>
        <w:t xml:space="preserve">wsparcia </w:t>
      </w:r>
      <w:r w:rsidR="00931D10" w:rsidRPr="009F216A">
        <w:rPr>
          <w:rFonts w:ascii="Times New Roman" w:hAnsi="Times New Roman" w:cs="Times New Roman"/>
          <w:b/>
          <w:sz w:val="24"/>
          <w:szCs w:val="24"/>
        </w:rPr>
        <w:t>bezzwrotnego</w:t>
      </w:r>
      <w:r w:rsidR="00931D10">
        <w:rPr>
          <w:rFonts w:ascii="Times New Roman" w:hAnsi="Times New Roman" w:cs="Times New Roman"/>
          <w:sz w:val="24"/>
          <w:szCs w:val="24"/>
        </w:rPr>
        <w:t xml:space="preserve"> udzielonego przez OWES ze środków EFS lub EFS+, ale od momentu otrzymania tego wsparcia do momentu złożenia wniosku</w:t>
      </w:r>
      <w:r>
        <w:rPr>
          <w:rFonts w:ascii="Times New Roman" w:hAnsi="Times New Roman" w:cs="Times New Roman"/>
          <w:sz w:val="24"/>
          <w:szCs w:val="24"/>
        </w:rPr>
        <w:t xml:space="preserve"> w ramach programu</w:t>
      </w:r>
      <w:r w:rsidR="00931D10">
        <w:rPr>
          <w:rFonts w:ascii="Times New Roman" w:hAnsi="Times New Roman" w:cs="Times New Roman"/>
          <w:sz w:val="24"/>
          <w:szCs w:val="24"/>
        </w:rPr>
        <w:t xml:space="preserve"> minęło co najmniej 6 miesięcy</w:t>
      </w:r>
      <w:r w:rsidR="009322C8">
        <w:rPr>
          <w:rFonts w:ascii="Times New Roman" w:hAnsi="Times New Roman" w:cs="Times New Roman"/>
          <w:sz w:val="24"/>
          <w:szCs w:val="24"/>
        </w:rPr>
        <w:t xml:space="preserve"> lub PES zobowiąż</w:t>
      </w:r>
      <w:bookmarkStart w:id="0" w:name="_GoBack"/>
      <w:bookmarkEnd w:id="0"/>
      <w:r w:rsidR="009322C8">
        <w:rPr>
          <w:rFonts w:ascii="Times New Roman" w:hAnsi="Times New Roman" w:cs="Times New Roman"/>
          <w:sz w:val="24"/>
          <w:szCs w:val="24"/>
        </w:rPr>
        <w:t>e się przeprowadzić na własny koszt audyt potwierdzający brak podwójnego finansowania z KPO i EFS/EFS+</w:t>
      </w:r>
      <w:r w:rsidR="00931D10">
        <w:rPr>
          <w:rFonts w:ascii="Times New Roman" w:hAnsi="Times New Roman" w:cs="Times New Roman"/>
          <w:sz w:val="24"/>
          <w:szCs w:val="24"/>
        </w:rPr>
        <w:t>.</w:t>
      </w:r>
    </w:p>
    <w:p w14:paraId="6CCA6F8B" w14:textId="77777777" w:rsidR="009F216A" w:rsidRPr="009F216A" w:rsidRDefault="009F216A" w:rsidP="009F216A">
      <w:pPr>
        <w:pStyle w:val="Akapitzlist"/>
        <w:numPr>
          <w:ilvl w:val="0"/>
          <w:numId w:val="9"/>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Otrzymanie wsparcia bezzwrotnego od OWES ze środków EFS lub EFS+ będzie możliwe 6 miesięcy od rozliczenia wniosku z KPO.</w:t>
      </w:r>
    </w:p>
    <w:sectPr w:rsidR="009F216A" w:rsidRPr="009F216A" w:rsidSect="00CF5FDB">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5E32C" w14:textId="77777777" w:rsidR="00530079" w:rsidRDefault="00530079" w:rsidP="00EB0ADB">
      <w:pPr>
        <w:spacing w:after="0" w:line="240" w:lineRule="auto"/>
      </w:pPr>
      <w:r>
        <w:separator/>
      </w:r>
    </w:p>
  </w:endnote>
  <w:endnote w:type="continuationSeparator" w:id="0">
    <w:p w14:paraId="02338BAC" w14:textId="77777777" w:rsidR="00530079" w:rsidRDefault="00530079" w:rsidP="00EB0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1689120"/>
      <w:docPartObj>
        <w:docPartGallery w:val="Page Numbers (Bottom of Page)"/>
        <w:docPartUnique/>
      </w:docPartObj>
    </w:sdtPr>
    <w:sdtEndPr/>
    <w:sdtContent>
      <w:sdt>
        <w:sdtPr>
          <w:id w:val="1728636285"/>
          <w:docPartObj>
            <w:docPartGallery w:val="Page Numbers (Top of Page)"/>
            <w:docPartUnique/>
          </w:docPartObj>
        </w:sdtPr>
        <w:sdtEndPr/>
        <w:sdtContent>
          <w:p w14:paraId="14A516D9" w14:textId="2EE95517" w:rsidR="009F216A" w:rsidRDefault="009F216A">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9322C8">
              <w:rPr>
                <w:b/>
                <w:bCs/>
                <w:noProof/>
              </w:rPr>
              <w:t>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9322C8">
              <w:rPr>
                <w:b/>
                <w:bCs/>
                <w:noProof/>
              </w:rPr>
              <w:t>6</w:t>
            </w:r>
            <w:r>
              <w:rPr>
                <w:b/>
                <w:bCs/>
                <w:sz w:val="24"/>
                <w:szCs w:val="24"/>
              </w:rPr>
              <w:fldChar w:fldCharType="end"/>
            </w:r>
          </w:p>
        </w:sdtContent>
      </w:sdt>
    </w:sdtContent>
  </w:sdt>
  <w:p w14:paraId="1C6A4ED0" w14:textId="77777777" w:rsidR="009F216A" w:rsidRDefault="009F21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655B6" w14:textId="77777777" w:rsidR="00530079" w:rsidRDefault="00530079" w:rsidP="00EB0ADB">
      <w:pPr>
        <w:spacing w:after="0" w:line="240" w:lineRule="auto"/>
      </w:pPr>
      <w:r>
        <w:separator/>
      </w:r>
    </w:p>
  </w:footnote>
  <w:footnote w:type="continuationSeparator" w:id="0">
    <w:p w14:paraId="33EC2027" w14:textId="77777777" w:rsidR="00530079" w:rsidRDefault="00530079" w:rsidP="00EB0ADB">
      <w:pPr>
        <w:spacing w:after="0" w:line="240" w:lineRule="auto"/>
      </w:pPr>
      <w:r>
        <w:continuationSeparator/>
      </w:r>
    </w:p>
  </w:footnote>
  <w:footnote w:id="1">
    <w:p w14:paraId="23FA1D74" w14:textId="3E4EF838" w:rsidR="00EC7A62" w:rsidRPr="00C44E82" w:rsidRDefault="00EC7A62">
      <w:pPr>
        <w:pStyle w:val="Tekstprzypisudolnego"/>
        <w:rPr>
          <w:rFonts w:ascii="Times New Roman" w:hAnsi="Times New Roman" w:cs="Times New Roman"/>
        </w:rPr>
      </w:pPr>
      <w:r w:rsidRPr="00C44E82">
        <w:rPr>
          <w:rStyle w:val="Odwoanieprzypisudolnego"/>
          <w:rFonts w:ascii="Times New Roman" w:hAnsi="Times New Roman" w:cs="Times New Roman"/>
        </w:rPr>
        <w:footnoteRef/>
      </w:r>
      <w:r w:rsidRPr="00C44E82">
        <w:rPr>
          <w:rFonts w:ascii="Times New Roman" w:hAnsi="Times New Roman" w:cs="Times New Roman"/>
        </w:rPr>
        <w:t xml:space="preserve"> </w:t>
      </w:r>
      <w:r w:rsidR="00C44E82" w:rsidRPr="00C44E82">
        <w:rPr>
          <w:rFonts w:ascii="Times New Roman" w:hAnsi="Times New Roman" w:cs="Times New Roman"/>
        </w:rPr>
        <w:t>Warunek utrzymania zatrudnienia wynika z zapisów załącznika do decyzji implementacyjnej dotyczącej KPO. Warunek ten spełnić będą musiały wszystkie PES, które uzyskają wsparcie w ramach programu.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1CEE0" w14:textId="1658407A" w:rsidR="00CF5FDB" w:rsidRDefault="00CF5FDB">
    <w:pPr>
      <w:pStyle w:val="Nagwek"/>
    </w:pPr>
    <w:r w:rsidRPr="00CF5FDB">
      <w:rPr>
        <w:noProof/>
        <w:lang w:eastAsia="pl-PL"/>
      </w:rPr>
      <w:drawing>
        <wp:inline distT="0" distB="0" distL="0" distR="0" wp14:anchorId="4407FC23" wp14:editId="116CA7E1">
          <wp:extent cx="5760720" cy="739299"/>
          <wp:effectExtent l="0" t="0" r="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392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24C1458"/>
    <w:lvl w:ilvl="0">
      <w:start w:val="1"/>
      <w:numFmt w:val="decimal"/>
      <w:pStyle w:val="Listanumerowana"/>
      <w:lvlText w:val="%1."/>
      <w:lvlJc w:val="left"/>
      <w:pPr>
        <w:tabs>
          <w:tab w:val="num" w:pos="360"/>
        </w:tabs>
        <w:ind w:left="360" w:hanging="360"/>
      </w:pPr>
      <w:rPr>
        <w:b w:val="0"/>
      </w:rPr>
    </w:lvl>
  </w:abstractNum>
  <w:abstractNum w:abstractNumId="1" w15:restartNumberingAfterBreak="0">
    <w:nsid w:val="00421589"/>
    <w:multiLevelType w:val="hybridMultilevel"/>
    <w:tmpl w:val="C75480B8"/>
    <w:lvl w:ilvl="0" w:tplc="BB4E529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3C849D1"/>
    <w:multiLevelType w:val="hybridMultilevel"/>
    <w:tmpl w:val="BA806782"/>
    <w:lvl w:ilvl="0" w:tplc="6A3CFB0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42F3604"/>
    <w:multiLevelType w:val="hybridMultilevel"/>
    <w:tmpl w:val="B34E5B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57E62F8"/>
    <w:multiLevelType w:val="hybridMultilevel"/>
    <w:tmpl w:val="37C6255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0C414D24"/>
    <w:multiLevelType w:val="hybridMultilevel"/>
    <w:tmpl w:val="5DD678E0"/>
    <w:lvl w:ilvl="0" w:tplc="BAEC820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A73683B"/>
    <w:multiLevelType w:val="hybridMultilevel"/>
    <w:tmpl w:val="F79E1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5D180C"/>
    <w:multiLevelType w:val="hybridMultilevel"/>
    <w:tmpl w:val="4FD05FD8"/>
    <w:lvl w:ilvl="0" w:tplc="04150017">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8A2649B"/>
    <w:multiLevelType w:val="hybridMultilevel"/>
    <w:tmpl w:val="B34E5B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F9B6459"/>
    <w:multiLevelType w:val="hybridMultilevel"/>
    <w:tmpl w:val="01EE58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C686A24"/>
    <w:multiLevelType w:val="hybridMultilevel"/>
    <w:tmpl w:val="AB92731A"/>
    <w:lvl w:ilvl="0" w:tplc="17FED888">
      <w:start w:val="1"/>
      <w:numFmt w:val="upperRoman"/>
      <w:pStyle w:val="Nagwek1"/>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240259E"/>
    <w:multiLevelType w:val="hybridMultilevel"/>
    <w:tmpl w:val="9BE409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99B5E85"/>
    <w:multiLevelType w:val="hybridMultilevel"/>
    <w:tmpl w:val="C298EC60"/>
    <w:lvl w:ilvl="0" w:tplc="264A71DA">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C0043A3"/>
    <w:multiLevelType w:val="hybridMultilevel"/>
    <w:tmpl w:val="C75480B8"/>
    <w:lvl w:ilvl="0" w:tplc="BB4E529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8457380"/>
    <w:multiLevelType w:val="hybridMultilevel"/>
    <w:tmpl w:val="8A3A5F9C"/>
    <w:lvl w:ilvl="0" w:tplc="264A71DA">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A1E570A"/>
    <w:multiLevelType w:val="hybridMultilevel"/>
    <w:tmpl w:val="69CAC5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BF14AB7"/>
    <w:multiLevelType w:val="hybridMultilevel"/>
    <w:tmpl w:val="69CAC5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81514D3"/>
    <w:multiLevelType w:val="hybridMultilevel"/>
    <w:tmpl w:val="35F8B218"/>
    <w:lvl w:ilvl="0" w:tplc="54EEAAAC">
      <w:start w:val="1"/>
      <w:numFmt w:val="upperRoman"/>
      <w:lvlText w:val="%1&gt;"/>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E22256B"/>
    <w:multiLevelType w:val="hybridMultilevel"/>
    <w:tmpl w:val="9D925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1"/>
  </w:num>
  <w:num w:numId="3">
    <w:abstractNumId w:val="3"/>
  </w:num>
  <w:num w:numId="4">
    <w:abstractNumId w:val="9"/>
  </w:num>
  <w:num w:numId="5">
    <w:abstractNumId w:val="0"/>
  </w:num>
  <w:num w:numId="6">
    <w:abstractNumId w:val="14"/>
  </w:num>
  <w:num w:numId="7">
    <w:abstractNumId w:val="4"/>
  </w:num>
  <w:num w:numId="8">
    <w:abstractNumId w:val="8"/>
  </w:num>
  <w:num w:numId="9">
    <w:abstractNumId w:val="5"/>
  </w:num>
  <w:num w:numId="10">
    <w:abstractNumId w:val="1"/>
  </w:num>
  <w:num w:numId="11">
    <w:abstractNumId w:val="17"/>
  </w:num>
  <w:num w:numId="12">
    <w:abstractNumId w:val="18"/>
  </w:num>
  <w:num w:numId="13">
    <w:abstractNumId w:val="13"/>
  </w:num>
  <w:num w:numId="14">
    <w:abstractNumId w:val="2"/>
  </w:num>
  <w:num w:numId="15">
    <w:abstractNumId w:val="16"/>
  </w:num>
  <w:num w:numId="16">
    <w:abstractNumId w:val="12"/>
  </w:num>
  <w:num w:numId="17">
    <w:abstractNumId w:val="7"/>
  </w:num>
  <w:num w:numId="18">
    <w:abstractNumId w:val="15"/>
  </w:num>
  <w:num w:numId="19">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B2"/>
    <w:rsid w:val="000125BA"/>
    <w:rsid w:val="0009091D"/>
    <w:rsid w:val="000A4E06"/>
    <w:rsid w:val="000C4866"/>
    <w:rsid w:val="001324F5"/>
    <w:rsid w:val="00160B9B"/>
    <w:rsid w:val="00185475"/>
    <w:rsid w:val="00190608"/>
    <w:rsid w:val="001B285B"/>
    <w:rsid w:val="001C4753"/>
    <w:rsid w:val="001F587E"/>
    <w:rsid w:val="001F6DD5"/>
    <w:rsid w:val="00220BE3"/>
    <w:rsid w:val="002523BA"/>
    <w:rsid w:val="00283B73"/>
    <w:rsid w:val="00287452"/>
    <w:rsid w:val="0028750A"/>
    <w:rsid w:val="0029011F"/>
    <w:rsid w:val="00301B93"/>
    <w:rsid w:val="0030465B"/>
    <w:rsid w:val="00312250"/>
    <w:rsid w:val="0031306C"/>
    <w:rsid w:val="00344594"/>
    <w:rsid w:val="00363AA4"/>
    <w:rsid w:val="00387E44"/>
    <w:rsid w:val="00390B65"/>
    <w:rsid w:val="0041777A"/>
    <w:rsid w:val="004207B8"/>
    <w:rsid w:val="00481C6F"/>
    <w:rsid w:val="004A2096"/>
    <w:rsid w:val="004E6A1C"/>
    <w:rsid w:val="004F28AE"/>
    <w:rsid w:val="005035FA"/>
    <w:rsid w:val="00516D1F"/>
    <w:rsid w:val="00520843"/>
    <w:rsid w:val="00520CB2"/>
    <w:rsid w:val="00530079"/>
    <w:rsid w:val="00531B5F"/>
    <w:rsid w:val="00533EAF"/>
    <w:rsid w:val="0054797C"/>
    <w:rsid w:val="00573ACC"/>
    <w:rsid w:val="00597B21"/>
    <w:rsid w:val="005E25BD"/>
    <w:rsid w:val="00604ECC"/>
    <w:rsid w:val="00607DDC"/>
    <w:rsid w:val="00646367"/>
    <w:rsid w:val="00654C8A"/>
    <w:rsid w:val="0065704A"/>
    <w:rsid w:val="00660798"/>
    <w:rsid w:val="00680E20"/>
    <w:rsid w:val="0069074D"/>
    <w:rsid w:val="006A3CCE"/>
    <w:rsid w:val="006C7EFB"/>
    <w:rsid w:val="006E0E31"/>
    <w:rsid w:val="0072121D"/>
    <w:rsid w:val="00754EC3"/>
    <w:rsid w:val="007D4086"/>
    <w:rsid w:val="007F521E"/>
    <w:rsid w:val="008111AE"/>
    <w:rsid w:val="00827660"/>
    <w:rsid w:val="00831117"/>
    <w:rsid w:val="008563DA"/>
    <w:rsid w:val="00862A45"/>
    <w:rsid w:val="008A16D8"/>
    <w:rsid w:val="008A7B8C"/>
    <w:rsid w:val="008C3A97"/>
    <w:rsid w:val="008D1417"/>
    <w:rsid w:val="009143A1"/>
    <w:rsid w:val="009159BD"/>
    <w:rsid w:val="00931D10"/>
    <w:rsid w:val="009322C8"/>
    <w:rsid w:val="00932E95"/>
    <w:rsid w:val="009554FC"/>
    <w:rsid w:val="00957257"/>
    <w:rsid w:val="009623A5"/>
    <w:rsid w:val="00994939"/>
    <w:rsid w:val="009A73CA"/>
    <w:rsid w:val="009C1294"/>
    <w:rsid w:val="009F216A"/>
    <w:rsid w:val="00A335FC"/>
    <w:rsid w:val="00A439A9"/>
    <w:rsid w:val="00A54D92"/>
    <w:rsid w:val="00A869C9"/>
    <w:rsid w:val="00A94237"/>
    <w:rsid w:val="00AA73FC"/>
    <w:rsid w:val="00AC077A"/>
    <w:rsid w:val="00AF029C"/>
    <w:rsid w:val="00AF02D5"/>
    <w:rsid w:val="00AF46BC"/>
    <w:rsid w:val="00B02157"/>
    <w:rsid w:val="00B0219B"/>
    <w:rsid w:val="00B15516"/>
    <w:rsid w:val="00B24E55"/>
    <w:rsid w:val="00B41709"/>
    <w:rsid w:val="00B6329D"/>
    <w:rsid w:val="00B757D1"/>
    <w:rsid w:val="00B86204"/>
    <w:rsid w:val="00B86E89"/>
    <w:rsid w:val="00BA1B8E"/>
    <w:rsid w:val="00BA2D43"/>
    <w:rsid w:val="00BB3F01"/>
    <w:rsid w:val="00BD6F02"/>
    <w:rsid w:val="00C00576"/>
    <w:rsid w:val="00C05B5E"/>
    <w:rsid w:val="00C12F46"/>
    <w:rsid w:val="00C44E82"/>
    <w:rsid w:val="00C53051"/>
    <w:rsid w:val="00CE0FAF"/>
    <w:rsid w:val="00CE5C96"/>
    <w:rsid w:val="00CE6A44"/>
    <w:rsid w:val="00CF5FDB"/>
    <w:rsid w:val="00D31442"/>
    <w:rsid w:val="00D47260"/>
    <w:rsid w:val="00D9315A"/>
    <w:rsid w:val="00DA4733"/>
    <w:rsid w:val="00DC7C75"/>
    <w:rsid w:val="00E3782F"/>
    <w:rsid w:val="00E46A2A"/>
    <w:rsid w:val="00E61991"/>
    <w:rsid w:val="00E634A2"/>
    <w:rsid w:val="00E81791"/>
    <w:rsid w:val="00E87600"/>
    <w:rsid w:val="00EA36AD"/>
    <w:rsid w:val="00EB0ADB"/>
    <w:rsid w:val="00EB408E"/>
    <w:rsid w:val="00EC7A62"/>
    <w:rsid w:val="00F10849"/>
    <w:rsid w:val="00F31C30"/>
    <w:rsid w:val="00F46CED"/>
    <w:rsid w:val="00F53836"/>
    <w:rsid w:val="00F61A9B"/>
    <w:rsid w:val="00F64B39"/>
    <w:rsid w:val="00F71B3B"/>
    <w:rsid w:val="00FA4C2A"/>
    <w:rsid w:val="00FB3C50"/>
    <w:rsid w:val="00FE10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6966C"/>
  <w15:chartTrackingRefBased/>
  <w15:docId w15:val="{74330794-47D8-4D40-AEF3-0A8022729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Akapitzlist"/>
    <w:next w:val="Normalny"/>
    <w:link w:val="Nagwek1Znak"/>
    <w:uiPriority w:val="9"/>
    <w:qFormat/>
    <w:rsid w:val="00827660"/>
    <w:pPr>
      <w:numPr>
        <w:numId w:val="1"/>
      </w:numPr>
      <w:shd w:val="clear" w:color="auto" w:fill="BDD6EE" w:themeFill="accent1" w:themeFillTint="66"/>
      <w:spacing w:before="360" w:after="120" w:line="276" w:lineRule="auto"/>
      <w:contextualSpacing w:val="0"/>
      <w:jc w:val="both"/>
      <w:outlineLvl w:val="0"/>
    </w:pPr>
    <w:rPr>
      <w:rFonts w:ascii="Times New Roman" w:hAnsi="Times New Roman" w:cs="Times New Roman"/>
      <w:b/>
      <w:sz w:val="24"/>
      <w:szCs w:val="24"/>
    </w:rPr>
  </w:style>
  <w:style w:type="paragraph" w:styleId="Nagwek6">
    <w:name w:val="heading 6"/>
    <w:basedOn w:val="Normalny"/>
    <w:next w:val="Tekstpodstawowy"/>
    <w:link w:val="Nagwek6Znak"/>
    <w:unhideWhenUsed/>
    <w:qFormat/>
    <w:rsid w:val="0028750A"/>
    <w:pPr>
      <w:keepNext/>
      <w:keepLines/>
      <w:spacing w:after="0" w:line="220" w:lineRule="atLeast"/>
      <w:ind w:left="1080"/>
      <w:jc w:val="both"/>
      <w:outlineLvl w:val="5"/>
    </w:pPr>
    <w:rPr>
      <w:rFonts w:ascii="Arial Black" w:eastAsia="Times New Roman" w:hAnsi="Arial Black" w:cs="Times New Roman"/>
      <w:spacing w:val="-5"/>
      <w:kern w:val="20"/>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0CB2"/>
    <w:pPr>
      <w:ind w:left="720"/>
      <w:contextualSpacing/>
    </w:pPr>
  </w:style>
  <w:style w:type="character" w:customStyle="1" w:styleId="Nagwek6Znak">
    <w:name w:val="Nagłówek 6 Znak"/>
    <w:basedOn w:val="Domylnaczcionkaakapitu"/>
    <w:link w:val="Nagwek6"/>
    <w:rsid w:val="0028750A"/>
    <w:rPr>
      <w:rFonts w:ascii="Arial Black" w:eastAsia="Times New Roman" w:hAnsi="Arial Black" w:cs="Times New Roman"/>
      <w:spacing w:val="-5"/>
      <w:kern w:val="20"/>
      <w:sz w:val="18"/>
      <w:szCs w:val="20"/>
    </w:rPr>
  </w:style>
  <w:style w:type="paragraph" w:styleId="Tekstpodstawowy">
    <w:name w:val="Body Text"/>
    <w:basedOn w:val="Normalny"/>
    <w:link w:val="TekstpodstawowyZnak"/>
    <w:uiPriority w:val="99"/>
    <w:semiHidden/>
    <w:unhideWhenUsed/>
    <w:rsid w:val="0028750A"/>
    <w:pPr>
      <w:spacing w:after="120"/>
    </w:pPr>
  </w:style>
  <w:style w:type="character" w:customStyle="1" w:styleId="TekstpodstawowyZnak">
    <w:name w:val="Tekst podstawowy Znak"/>
    <w:basedOn w:val="Domylnaczcionkaakapitu"/>
    <w:link w:val="Tekstpodstawowy"/>
    <w:uiPriority w:val="99"/>
    <w:semiHidden/>
    <w:rsid w:val="0028750A"/>
  </w:style>
  <w:style w:type="character" w:styleId="Odwoaniedokomentarza">
    <w:name w:val="annotation reference"/>
    <w:basedOn w:val="Domylnaczcionkaakapitu"/>
    <w:uiPriority w:val="99"/>
    <w:semiHidden/>
    <w:unhideWhenUsed/>
    <w:rsid w:val="004207B8"/>
    <w:rPr>
      <w:sz w:val="16"/>
      <w:szCs w:val="16"/>
    </w:rPr>
  </w:style>
  <w:style w:type="paragraph" w:styleId="Tekstkomentarza">
    <w:name w:val="annotation text"/>
    <w:basedOn w:val="Normalny"/>
    <w:link w:val="TekstkomentarzaZnak"/>
    <w:uiPriority w:val="99"/>
    <w:semiHidden/>
    <w:unhideWhenUsed/>
    <w:rsid w:val="004207B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207B8"/>
    <w:rPr>
      <w:sz w:val="20"/>
      <w:szCs w:val="20"/>
    </w:rPr>
  </w:style>
  <w:style w:type="paragraph" w:styleId="Tematkomentarza">
    <w:name w:val="annotation subject"/>
    <w:basedOn w:val="Tekstkomentarza"/>
    <w:next w:val="Tekstkomentarza"/>
    <w:link w:val="TematkomentarzaZnak"/>
    <w:uiPriority w:val="99"/>
    <w:semiHidden/>
    <w:unhideWhenUsed/>
    <w:rsid w:val="004207B8"/>
    <w:rPr>
      <w:b/>
      <w:bCs/>
    </w:rPr>
  </w:style>
  <w:style w:type="character" w:customStyle="1" w:styleId="TematkomentarzaZnak">
    <w:name w:val="Temat komentarza Znak"/>
    <w:basedOn w:val="TekstkomentarzaZnak"/>
    <w:link w:val="Tematkomentarza"/>
    <w:uiPriority w:val="99"/>
    <w:semiHidden/>
    <w:rsid w:val="004207B8"/>
    <w:rPr>
      <w:b/>
      <w:bCs/>
      <w:sz w:val="20"/>
      <w:szCs w:val="20"/>
    </w:rPr>
  </w:style>
  <w:style w:type="paragraph" w:styleId="Tekstdymka">
    <w:name w:val="Balloon Text"/>
    <w:basedOn w:val="Normalny"/>
    <w:link w:val="TekstdymkaZnak"/>
    <w:uiPriority w:val="99"/>
    <w:semiHidden/>
    <w:unhideWhenUsed/>
    <w:rsid w:val="004207B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07B8"/>
    <w:rPr>
      <w:rFonts w:ascii="Segoe UI" w:hAnsi="Segoe UI" w:cs="Segoe UI"/>
      <w:sz w:val="18"/>
      <w:szCs w:val="18"/>
    </w:rPr>
  </w:style>
  <w:style w:type="character" w:styleId="Hipercze">
    <w:name w:val="Hyperlink"/>
    <w:basedOn w:val="Domylnaczcionkaakapitu"/>
    <w:uiPriority w:val="99"/>
    <w:unhideWhenUsed/>
    <w:rsid w:val="00344594"/>
    <w:rPr>
      <w:color w:val="0563C1" w:themeColor="hyperlink"/>
      <w:u w:val="single"/>
    </w:rPr>
  </w:style>
  <w:style w:type="paragraph" w:styleId="Listanumerowana">
    <w:name w:val="List Number"/>
    <w:basedOn w:val="Normalny"/>
    <w:uiPriority w:val="99"/>
    <w:unhideWhenUsed/>
    <w:rsid w:val="00312250"/>
    <w:pPr>
      <w:numPr>
        <w:numId w:val="5"/>
      </w:numPr>
      <w:contextualSpacing/>
      <w:jc w:val="both"/>
    </w:pPr>
    <w:rPr>
      <w:rFonts w:ascii="Times New Roman" w:hAnsi="Times New Roman"/>
      <w:sz w:val="24"/>
    </w:rPr>
  </w:style>
  <w:style w:type="paragraph" w:styleId="Tekstprzypisukocowego">
    <w:name w:val="endnote text"/>
    <w:basedOn w:val="Normalny"/>
    <w:link w:val="TekstprzypisukocowegoZnak"/>
    <w:uiPriority w:val="99"/>
    <w:semiHidden/>
    <w:unhideWhenUsed/>
    <w:rsid w:val="00EB0AD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0ADB"/>
    <w:rPr>
      <w:sz w:val="20"/>
      <w:szCs w:val="20"/>
    </w:rPr>
  </w:style>
  <w:style w:type="character" w:styleId="Odwoanieprzypisukocowego">
    <w:name w:val="endnote reference"/>
    <w:basedOn w:val="Domylnaczcionkaakapitu"/>
    <w:uiPriority w:val="99"/>
    <w:semiHidden/>
    <w:unhideWhenUsed/>
    <w:rsid w:val="00EB0ADB"/>
    <w:rPr>
      <w:vertAlign w:val="superscript"/>
    </w:rPr>
  </w:style>
  <w:style w:type="paragraph" w:styleId="Nagwek">
    <w:name w:val="header"/>
    <w:basedOn w:val="Normalny"/>
    <w:link w:val="NagwekZnak"/>
    <w:uiPriority w:val="99"/>
    <w:unhideWhenUsed/>
    <w:rsid w:val="009F21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216A"/>
  </w:style>
  <w:style w:type="paragraph" w:styleId="Stopka">
    <w:name w:val="footer"/>
    <w:basedOn w:val="Normalny"/>
    <w:link w:val="StopkaZnak"/>
    <w:uiPriority w:val="99"/>
    <w:unhideWhenUsed/>
    <w:rsid w:val="009F216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216A"/>
  </w:style>
  <w:style w:type="character" w:customStyle="1" w:styleId="Nagwek1Znak">
    <w:name w:val="Nagłówek 1 Znak"/>
    <w:basedOn w:val="Domylnaczcionkaakapitu"/>
    <w:link w:val="Nagwek1"/>
    <w:uiPriority w:val="9"/>
    <w:rsid w:val="00827660"/>
    <w:rPr>
      <w:rFonts w:ascii="Times New Roman" w:hAnsi="Times New Roman" w:cs="Times New Roman"/>
      <w:b/>
      <w:sz w:val="24"/>
      <w:szCs w:val="24"/>
      <w:shd w:val="clear" w:color="auto" w:fill="BDD6EE" w:themeFill="accent1" w:themeFillTint="66"/>
    </w:rPr>
  </w:style>
  <w:style w:type="paragraph" w:styleId="Tekstprzypisudolnego">
    <w:name w:val="footnote text"/>
    <w:basedOn w:val="Normalny"/>
    <w:link w:val="TekstprzypisudolnegoZnak"/>
    <w:uiPriority w:val="99"/>
    <w:semiHidden/>
    <w:unhideWhenUsed/>
    <w:rsid w:val="00EC7A6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C7A62"/>
    <w:rPr>
      <w:sz w:val="20"/>
      <w:szCs w:val="20"/>
    </w:rPr>
  </w:style>
  <w:style w:type="character" w:styleId="Odwoanieprzypisudolnego">
    <w:name w:val="footnote reference"/>
    <w:basedOn w:val="Domylnaczcionkaakapitu"/>
    <w:uiPriority w:val="99"/>
    <w:semiHidden/>
    <w:unhideWhenUsed/>
    <w:rsid w:val="00EC7A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planodbudowy/polskie-praw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B5C80-81E1-4DEA-8239-9BEB5577D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1899</Words>
  <Characters>11400</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Szewczyk</dc:creator>
  <cp:keywords/>
  <dc:description/>
  <cp:lastModifiedBy>Jakub Szewczyk</cp:lastModifiedBy>
  <cp:revision>7</cp:revision>
  <dcterms:created xsi:type="dcterms:W3CDTF">2022-06-13T08:54:00Z</dcterms:created>
  <dcterms:modified xsi:type="dcterms:W3CDTF">2022-06-14T09:52:00Z</dcterms:modified>
</cp:coreProperties>
</file>